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3C31E2BF" w:rsidR="0025287F" w:rsidRDefault="008C19AD">
      <w:pPr>
        <w:pStyle w:val="Textoindependiente"/>
        <w:ind w:left="100"/>
        <w:rPr>
          <w:rFonts w:ascii="Times New Roman"/>
          <w:sz w:val="20"/>
        </w:rPr>
        <w:sectPr w:rsidR="0025287F" w:rsidSect="00653E06">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52CB6BD" w:rsidR="00783A4C" w:rsidRPr="008E1B64" w:rsidRDefault="004709D5"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4709D5">
                              <w:rPr>
                                <w:rFonts w:ascii="Aptos" w:eastAsiaTheme="minorEastAsia" w:hAnsi="Aptos" w:cstheme="minorBidi"/>
                                <w:b/>
                                <w:bCs/>
                                <w:color w:val="FFFFFF" w:themeColor="background1"/>
                                <w:sz w:val="56"/>
                                <w:szCs w:val="56"/>
                                <w:lang w:eastAsia="zh-CN"/>
                              </w:rPr>
                              <w:t>Establecer la Política de Gestión de Configuración</w:t>
                            </w:r>
                            <w:r w:rsidR="008E1B64">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52CB6BD" w:rsidR="00783A4C" w:rsidRPr="008E1B64" w:rsidRDefault="004709D5"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4709D5">
                        <w:rPr>
                          <w:rFonts w:ascii="Aptos" w:eastAsiaTheme="minorEastAsia" w:hAnsi="Aptos" w:cstheme="minorBidi"/>
                          <w:b/>
                          <w:bCs/>
                          <w:color w:val="FFFFFF" w:themeColor="background1"/>
                          <w:sz w:val="56"/>
                          <w:szCs w:val="56"/>
                          <w:lang w:eastAsia="zh-CN"/>
                        </w:rPr>
                        <w:t>Establecer la Política de Gestión de Configuración</w:t>
                      </w:r>
                      <w:r w:rsidR="008E1B64">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CB10D1"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Controls.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Dado que la gestión de la configuración implica cambios constantes, el auditor debe entender cómo se gestionan, aprueban y documentan estos cambios. Además, debe conocer sistemas de control de versiones para rastrear y validar las modificaciones en los CIs.</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CB10D1" w:rsidRDefault="00CB10D1" w:rsidP="007D390E">
      <w:pPr>
        <w:pStyle w:val="Ttulo1"/>
        <w:numPr>
          <w:ilvl w:val="0"/>
          <w:numId w:val="3"/>
        </w:numPr>
        <w:tabs>
          <w:tab w:val="left" w:pos="587"/>
        </w:tabs>
        <w:spacing w:before="243" w:line="276" w:lineRule="auto"/>
        <w:jc w:val="both"/>
        <w:rPr>
          <w:rFonts w:ascii="Aptos" w:hAnsi="Aptos"/>
          <w:sz w:val="48"/>
          <w:szCs w:val="47"/>
        </w:rPr>
      </w:pPr>
      <w:r w:rsidRPr="00CB10D1">
        <w:rPr>
          <w:rFonts w:ascii="Aptos" w:hAnsi="Aptos"/>
          <w:spacing w:val="-6"/>
          <w:sz w:val="48"/>
          <w:szCs w:val="47"/>
        </w:rPr>
        <w:lastRenderedPageBreak/>
        <w:t>Visión</w:t>
      </w:r>
      <w:r w:rsidRPr="00CB10D1">
        <w:rPr>
          <w:rFonts w:ascii="Aptos" w:hAnsi="Aptos"/>
          <w:spacing w:val="-9"/>
          <w:sz w:val="48"/>
          <w:szCs w:val="47"/>
        </w:rPr>
        <w:t xml:space="preserve"> </w:t>
      </w:r>
      <w:r w:rsidRPr="00CB10D1">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3AA0B22" w14:textId="3B16B598" w:rsidR="00ED1A7D" w:rsidRDefault="00ED1A7D" w:rsidP="00ED1A7D">
      <w:pPr>
        <w:pStyle w:val="Textoindependiente"/>
        <w:spacing w:before="7" w:line="276" w:lineRule="auto"/>
        <w:ind w:left="0"/>
        <w:jc w:val="both"/>
        <w:rPr>
          <w:rFonts w:ascii="Aptos" w:hAnsi="Aptos"/>
          <w:sz w:val="28"/>
          <w:szCs w:val="20"/>
          <w:lang w:val="es-CL"/>
        </w:rPr>
      </w:pPr>
      <w:r w:rsidRPr="00ED1A7D">
        <w:rPr>
          <w:rFonts w:ascii="Aptos" w:hAnsi="Aptos"/>
          <w:sz w:val="28"/>
          <w:szCs w:val="20"/>
          <w:lang w:val="es-CL"/>
        </w:rPr>
        <w:t>El establecimiento de políticas claras para la gestión de la configuración permite estructurar los procesos operativos de manera eficiente y alineada con las regulaciones aplicables. Estas políticas proporcionan una base para definir responsabilidades, coordinar entre entidades organizativas y garantizar el cumplimiento normativo en la administración de cambios y configuraciones críticas.</w:t>
      </w:r>
    </w:p>
    <w:p w14:paraId="16F61009" w14:textId="77777777" w:rsidR="00ED1A7D" w:rsidRPr="00ED1A7D" w:rsidRDefault="00ED1A7D" w:rsidP="00ED1A7D">
      <w:pPr>
        <w:pStyle w:val="Textoindependiente"/>
        <w:spacing w:before="7" w:line="276" w:lineRule="auto"/>
        <w:ind w:left="0"/>
        <w:jc w:val="both"/>
        <w:rPr>
          <w:rFonts w:ascii="Aptos" w:hAnsi="Aptos"/>
          <w:sz w:val="28"/>
          <w:szCs w:val="20"/>
          <w:lang w:val="es-CL"/>
        </w:rPr>
      </w:pPr>
    </w:p>
    <w:p w14:paraId="1D79EF3F" w14:textId="77777777" w:rsidR="00ED1A7D" w:rsidRPr="00ED1A7D" w:rsidRDefault="00ED1A7D" w:rsidP="00ED1A7D">
      <w:pPr>
        <w:pStyle w:val="Textoindependiente"/>
        <w:spacing w:before="7" w:line="276" w:lineRule="auto"/>
        <w:ind w:left="0"/>
        <w:jc w:val="both"/>
        <w:rPr>
          <w:rFonts w:ascii="Aptos" w:hAnsi="Aptos"/>
          <w:b/>
          <w:bCs/>
          <w:sz w:val="28"/>
          <w:szCs w:val="20"/>
          <w:lang w:val="es-CL"/>
        </w:rPr>
      </w:pPr>
      <w:r w:rsidRPr="00ED1A7D">
        <w:rPr>
          <w:rFonts w:ascii="Aptos" w:hAnsi="Aptos"/>
          <w:b/>
          <w:bCs/>
          <w:sz w:val="28"/>
          <w:szCs w:val="20"/>
          <w:lang w:val="es-CL"/>
        </w:rPr>
        <w:t>1.1 Implementación de la Política de Gestión de Configuración</w:t>
      </w:r>
    </w:p>
    <w:p w14:paraId="69DBF9D5" w14:textId="77777777" w:rsidR="00ED1A7D" w:rsidRDefault="00ED1A7D" w:rsidP="00ED1A7D">
      <w:pPr>
        <w:pStyle w:val="Textoindependiente"/>
        <w:spacing w:before="7" w:line="276" w:lineRule="auto"/>
        <w:ind w:left="0"/>
        <w:jc w:val="both"/>
        <w:rPr>
          <w:rFonts w:ascii="Aptos" w:hAnsi="Aptos"/>
          <w:sz w:val="28"/>
          <w:szCs w:val="20"/>
          <w:lang w:val="es-CL"/>
        </w:rPr>
      </w:pPr>
      <w:r w:rsidRPr="00ED1A7D">
        <w:rPr>
          <w:rFonts w:ascii="Aptos" w:hAnsi="Aptos"/>
          <w:sz w:val="28"/>
          <w:szCs w:val="20"/>
          <w:lang w:val="es-CL"/>
        </w:rPr>
        <w:t>Para lograr una aplicación eficaz, es necesario desarrollar y documentar una política integral que abarque el propósito, alcance, roles y compromisos de la administración. La política debe incluir procedimientos detallados que respalden su implementación y controles asociados, asegurando que se asignen responsables para supervisar su desarrollo y difusión. Es imprescindible que estas políticas sean compatibles con las leyes y estándares vigentes, estableciendo un marco que facilite la coordinación entre las áreas de la organización.</w:t>
      </w:r>
    </w:p>
    <w:p w14:paraId="5DEB2A2F" w14:textId="77777777" w:rsidR="00ED1A7D" w:rsidRPr="00ED1A7D" w:rsidRDefault="00ED1A7D" w:rsidP="00ED1A7D">
      <w:pPr>
        <w:pStyle w:val="Textoindependiente"/>
        <w:spacing w:before="7" w:line="276" w:lineRule="auto"/>
        <w:ind w:left="0"/>
        <w:jc w:val="both"/>
        <w:rPr>
          <w:rFonts w:ascii="Aptos" w:hAnsi="Aptos"/>
          <w:sz w:val="28"/>
          <w:szCs w:val="20"/>
          <w:lang w:val="es-CL"/>
        </w:rPr>
      </w:pPr>
    </w:p>
    <w:p w14:paraId="370C5831" w14:textId="77777777" w:rsidR="00ED1A7D" w:rsidRPr="00ED1A7D" w:rsidRDefault="00ED1A7D" w:rsidP="00ED1A7D">
      <w:pPr>
        <w:pStyle w:val="Textoindependiente"/>
        <w:spacing w:before="7" w:line="276" w:lineRule="auto"/>
        <w:ind w:left="0"/>
        <w:jc w:val="both"/>
        <w:rPr>
          <w:rFonts w:ascii="Aptos" w:hAnsi="Aptos"/>
          <w:b/>
          <w:bCs/>
          <w:sz w:val="28"/>
          <w:szCs w:val="20"/>
          <w:lang w:val="es-CL"/>
        </w:rPr>
      </w:pPr>
      <w:r w:rsidRPr="00ED1A7D">
        <w:rPr>
          <w:rFonts w:ascii="Aptos" w:hAnsi="Aptos"/>
          <w:b/>
          <w:bCs/>
          <w:sz w:val="28"/>
          <w:szCs w:val="20"/>
          <w:lang w:val="es-CL"/>
        </w:rPr>
        <w:t>1.2 Auditoría y Actualización Continua</w:t>
      </w:r>
    </w:p>
    <w:p w14:paraId="6FA01448" w14:textId="206F80B3" w:rsidR="00ED1A7D" w:rsidRPr="00ED1A7D" w:rsidRDefault="00ED1A7D" w:rsidP="00ED1A7D">
      <w:pPr>
        <w:pStyle w:val="Textoindependiente"/>
        <w:spacing w:before="7" w:line="276" w:lineRule="auto"/>
        <w:ind w:left="0"/>
        <w:jc w:val="both"/>
        <w:rPr>
          <w:rFonts w:ascii="Aptos" w:hAnsi="Aptos"/>
          <w:sz w:val="28"/>
          <w:szCs w:val="20"/>
          <w:lang w:val="es-CL"/>
        </w:rPr>
      </w:pPr>
      <w:r w:rsidRPr="00ED1A7D">
        <w:rPr>
          <w:rFonts w:ascii="Aptos" w:hAnsi="Aptos"/>
          <w:sz w:val="28"/>
          <w:szCs w:val="20"/>
          <w:lang w:val="es-CL"/>
        </w:rPr>
        <w:t xml:space="preserve">Desde el punto de vista de auditoría, </w:t>
      </w:r>
      <w:r>
        <w:rPr>
          <w:rFonts w:ascii="Aptos" w:hAnsi="Aptos"/>
          <w:sz w:val="28"/>
          <w:szCs w:val="20"/>
          <w:lang w:val="es-CL"/>
        </w:rPr>
        <w:t>se debe</w:t>
      </w:r>
      <w:r w:rsidRPr="00ED1A7D">
        <w:rPr>
          <w:rFonts w:ascii="Aptos" w:hAnsi="Aptos"/>
          <w:sz w:val="28"/>
          <w:szCs w:val="20"/>
          <w:lang w:val="es-CL"/>
        </w:rPr>
        <w:t xml:space="preserve"> verificar que la política documentada se aplique de manera uniforme y que los procedimientos definidos sean efectivos para prevenir configuraciones indebidas o no autorizadas. La auditoría debe enfocarse en la revisión de registros que evidencien el cumplimiento de los controles, así como en la periodicidad y calidad de las actualizaciones realizadas. La designación de responsables claros y la existencia de un plan de revisión continua garantizan que las políticas se mantengan vigentes y alineadas con las necesidades organizativas y normativas actuales.</w:t>
      </w:r>
    </w:p>
    <w:p w14:paraId="6B0A10D2" w14:textId="7C693EE8" w:rsidR="00D85275" w:rsidRPr="00ED1A7D" w:rsidRDefault="00D85275" w:rsidP="00D85275">
      <w:pPr>
        <w:pStyle w:val="Textoindependiente"/>
        <w:spacing w:before="7" w:line="276" w:lineRule="auto"/>
        <w:ind w:left="0"/>
        <w:jc w:val="both"/>
        <w:rPr>
          <w:rFonts w:ascii="Aptos" w:hAnsi="Aptos"/>
          <w:sz w:val="28"/>
          <w:szCs w:val="20"/>
          <w:lang w:val="es-CL"/>
        </w:rPr>
        <w:sectPr w:rsidR="00D85275" w:rsidRPr="00ED1A7D" w:rsidSect="00653E06">
          <w:pgSz w:w="12240" w:h="20160"/>
          <w:pgMar w:top="1400" w:right="1320" w:bottom="880" w:left="1340" w:header="567" w:footer="681" w:gutter="0"/>
          <w:cols w:space="720"/>
          <w:docGrid w:linePitch="299"/>
        </w:sectPr>
      </w:pPr>
    </w:p>
    <w:p w14:paraId="1DD1A9E3" w14:textId="6DD1BACD" w:rsidR="007766F8" w:rsidRPr="00CB10D1" w:rsidRDefault="00CB10D1" w:rsidP="007D390E">
      <w:pPr>
        <w:pStyle w:val="Ttulo1"/>
        <w:numPr>
          <w:ilvl w:val="0"/>
          <w:numId w:val="3"/>
        </w:numPr>
        <w:tabs>
          <w:tab w:val="left" w:pos="587"/>
        </w:tabs>
        <w:spacing w:line="276" w:lineRule="auto"/>
        <w:jc w:val="both"/>
        <w:rPr>
          <w:rFonts w:ascii="Aptos" w:hAnsi="Aptos"/>
          <w:sz w:val="48"/>
          <w:szCs w:val="47"/>
        </w:rPr>
      </w:pPr>
      <w:r w:rsidRPr="00CB10D1">
        <w:rPr>
          <w:rFonts w:ascii="Aptos" w:hAnsi="Aptos"/>
          <w:spacing w:val="-5"/>
          <w:sz w:val="48"/>
          <w:szCs w:val="47"/>
        </w:rPr>
        <w:lastRenderedPageBreak/>
        <w:t xml:space="preserve">Modelo </w:t>
      </w:r>
      <w:r w:rsidRPr="00CB10D1">
        <w:rPr>
          <w:rFonts w:ascii="Aptos" w:hAnsi="Aptos"/>
          <w:spacing w:val="-3"/>
          <w:sz w:val="48"/>
          <w:szCs w:val="47"/>
        </w:rPr>
        <w:t>de</w:t>
      </w:r>
      <w:r w:rsidRPr="00CB10D1">
        <w:rPr>
          <w:rFonts w:ascii="Aptos" w:hAnsi="Aptos"/>
          <w:spacing w:val="-13"/>
          <w:sz w:val="48"/>
          <w:szCs w:val="47"/>
        </w:rPr>
        <w:t xml:space="preserve"> </w:t>
      </w:r>
      <w:r w:rsidRPr="00CB10D1">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CB10D1" w14:paraId="7C2BB19A" w14:textId="77777777" w:rsidTr="00E9376A">
        <w:trPr>
          <w:trHeight w:val="20"/>
        </w:trPr>
        <w:tc>
          <w:tcPr>
            <w:tcW w:w="2055" w:type="pct"/>
            <w:tcBorders>
              <w:bottom w:val="single" w:sz="6" w:space="0" w:color="37342E"/>
            </w:tcBorders>
            <w:shd w:val="clear" w:color="auto" w:fill="002060"/>
          </w:tcPr>
          <w:p w14:paraId="21DF21A5" w14:textId="77777777" w:rsidR="007766F8" w:rsidRPr="00CB10D1" w:rsidRDefault="00CB10D1" w:rsidP="00CB10D1">
            <w:pPr>
              <w:pStyle w:val="TableParagraph"/>
              <w:ind w:left="113" w:right="113"/>
              <w:jc w:val="both"/>
              <w:rPr>
                <w:rFonts w:ascii="Aptos" w:hAnsi="Aptos"/>
              </w:rPr>
            </w:pPr>
            <w:r w:rsidRPr="00CB10D1">
              <w:rPr>
                <w:rFonts w:ascii="Aptos" w:hAnsi="Aptos"/>
              </w:rPr>
              <w:t>NIVEL 1 [Impredecible y reactivo]: La actividad se completa, pero a menudo se retrasa y supera el presupuesto.</w:t>
            </w:r>
          </w:p>
        </w:tc>
        <w:tc>
          <w:tcPr>
            <w:tcW w:w="2945" w:type="pct"/>
          </w:tcPr>
          <w:p w14:paraId="6A0E357A" w14:textId="0288693D" w:rsidR="004709D5" w:rsidRPr="00CB10D1" w:rsidRDefault="004709D5" w:rsidP="00CB10D1">
            <w:pPr>
              <w:pStyle w:val="Prrafodelista"/>
              <w:numPr>
                <w:ilvl w:val="0"/>
                <w:numId w:val="35"/>
              </w:numPr>
              <w:rPr>
                <w:rFonts w:ascii="Aptos" w:hAnsi="Aptos"/>
              </w:rPr>
            </w:pPr>
            <w:r w:rsidRPr="00CB10D1">
              <w:rPr>
                <w:rFonts w:ascii="Aptos" w:hAnsi="Aptos"/>
              </w:rPr>
              <w:t>Desarrollar, documentar y difundir en la organización una política de gestión de configuración que aborde el propósito el alcance, los roles, las responsabilidades, el compromiso de la administración, la coordinación entre las entidades organizativas y el cumplimiento.</w:t>
            </w:r>
          </w:p>
          <w:p w14:paraId="081A834C" w14:textId="0A1F6E1A" w:rsidR="007766F8" w:rsidRPr="00CB10D1" w:rsidRDefault="004709D5" w:rsidP="00CB10D1">
            <w:pPr>
              <w:pStyle w:val="Prrafodelista"/>
              <w:numPr>
                <w:ilvl w:val="0"/>
                <w:numId w:val="35"/>
              </w:numPr>
              <w:rPr>
                <w:rFonts w:ascii="Aptos" w:hAnsi="Aptos"/>
              </w:rPr>
            </w:pPr>
            <w:r w:rsidRPr="00CB10D1">
              <w:rPr>
                <w:rFonts w:ascii="Aptos" w:hAnsi="Aptos"/>
              </w:rPr>
              <w:t>Asegurar que la política de gestión de la configuración es consistente con las leyes, directivas, regulaciones, políticas, estándares y pautas aplicables</w:t>
            </w:r>
          </w:p>
        </w:tc>
      </w:tr>
      <w:tr w:rsidR="007D390E" w:rsidRPr="00CB10D1" w14:paraId="16963CE5" w14:textId="77777777" w:rsidTr="00E9376A">
        <w:trPr>
          <w:trHeight w:val="20"/>
        </w:trPr>
        <w:tc>
          <w:tcPr>
            <w:tcW w:w="2055" w:type="pct"/>
            <w:tcBorders>
              <w:bottom w:val="single" w:sz="6" w:space="0" w:color="37342E"/>
            </w:tcBorders>
            <w:shd w:val="clear" w:color="auto" w:fill="002060"/>
          </w:tcPr>
          <w:p w14:paraId="33496D96" w14:textId="77777777" w:rsidR="007766F8" w:rsidRPr="00CB10D1" w:rsidRDefault="00CB10D1" w:rsidP="00CB10D1">
            <w:pPr>
              <w:pStyle w:val="TableParagraph"/>
              <w:ind w:left="113" w:right="113"/>
              <w:jc w:val="both"/>
              <w:rPr>
                <w:rFonts w:ascii="Aptos" w:hAnsi="Aptos"/>
              </w:rPr>
            </w:pPr>
            <w:r w:rsidRPr="00CB10D1">
              <w:rPr>
                <w:rFonts w:ascii="Aptos" w:hAnsi="Aptos"/>
              </w:rPr>
              <w:t>NIVEL 2 [Gestionado a nivel de proceso]: Las actividades se planifican, ejecutan, miden y controlan.</w:t>
            </w:r>
          </w:p>
        </w:tc>
        <w:tc>
          <w:tcPr>
            <w:tcW w:w="2945" w:type="pct"/>
          </w:tcPr>
          <w:p w14:paraId="3D0ACE37" w14:textId="78D4710D" w:rsidR="004709D5" w:rsidRPr="00CB10D1" w:rsidRDefault="004709D5" w:rsidP="00CB10D1">
            <w:pPr>
              <w:pStyle w:val="Prrafodelista"/>
              <w:numPr>
                <w:ilvl w:val="0"/>
                <w:numId w:val="36"/>
              </w:numPr>
              <w:rPr>
                <w:rFonts w:ascii="Aptos" w:hAnsi="Aptos"/>
              </w:rPr>
            </w:pPr>
            <w:r w:rsidRPr="00CB10D1">
              <w:rPr>
                <w:rFonts w:ascii="Aptos" w:hAnsi="Aptos"/>
              </w:rPr>
              <w:t>Definir procedimientos para facilitar la implementación de la directiva de administración de configuración y los controles de administración de configuración asociados.</w:t>
            </w:r>
          </w:p>
          <w:p w14:paraId="02306B6F" w14:textId="663577D7" w:rsidR="007766F8" w:rsidRPr="00CB10D1" w:rsidRDefault="004709D5" w:rsidP="00CB10D1">
            <w:pPr>
              <w:pStyle w:val="Prrafodelista"/>
              <w:numPr>
                <w:ilvl w:val="0"/>
                <w:numId w:val="36"/>
              </w:numPr>
              <w:rPr>
                <w:rFonts w:ascii="Aptos" w:hAnsi="Aptos"/>
              </w:rPr>
            </w:pPr>
            <w:r w:rsidRPr="00CB10D1">
              <w:rPr>
                <w:rFonts w:ascii="Aptos" w:hAnsi="Aptos"/>
              </w:rPr>
              <w:t>Designar a un responsable para gestionar el desarrollo, la documentación y la difusión de la política y los procedimientos de gestión de la configuración</w:t>
            </w:r>
          </w:p>
        </w:tc>
      </w:tr>
      <w:tr w:rsidR="00AC57AB" w:rsidRPr="00CB10D1" w14:paraId="28F7B9CD" w14:textId="77777777" w:rsidTr="00E9376A">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CB10D1" w:rsidRDefault="00AC57AB" w:rsidP="00CB10D1">
            <w:pPr>
              <w:pStyle w:val="TableParagraph"/>
              <w:ind w:left="113" w:right="113"/>
              <w:jc w:val="both"/>
              <w:rPr>
                <w:rFonts w:ascii="Aptos" w:hAnsi="Aptos"/>
              </w:rPr>
            </w:pPr>
            <w:r w:rsidRPr="00CB10D1">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2671E06" w14:textId="2EA32322" w:rsidR="00AC57AB" w:rsidRPr="00CB10D1" w:rsidRDefault="004709D5" w:rsidP="00CB10D1">
            <w:pPr>
              <w:pStyle w:val="Prrafodelista"/>
              <w:numPr>
                <w:ilvl w:val="0"/>
                <w:numId w:val="37"/>
              </w:numPr>
              <w:rPr>
                <w:rFonts w:ascii="Aptos" w:hAnsi="Aptos"/>
              </w:rPr>
            </w:pPr>
            <w:r w:rsidRPr="00CB10D1">
              <w:rPr>
                <w:rFonts w:ascii="Aptos" w:hAnsi="Aptos"/>
              </w:rPr>
              <w:t>Revisar y actualizar la política y los procedimientos actuales de gestión de la configuración</w:t>
            </w:r>
          </w:p>
        </w:tc>
      </w:tr>
      <w:tr w:rsidR="00AC57AB" w:rsidRPr="00CB10D1" w14:paraId="50C38DC5" w14:textId="77777777" w:rsidTr="00E9376A">
        <w:trPr>
          <w:trHeight w:val="20"/>
        </w:trPr>
        <w:tc>
          <w:tcPr>
            <w:tcW w:w="2055" w:type="pct"/>
            <w:tcBorders>
              <w:bottom w:val="single" w:sz="6" w:space="0" w:color="37342E"/>
            </w:tcBorders>
            <w:shd w:val="clear" w:color="auto" w:fill="002060"/>
          </w:tcPr>
          <w:p w14:paraId="1CA6BC1E" w14:textId="3E5CBD28" w:rsidR="00AC57AB" w:rsidRPr="00CB10D1" w:rsidRDefault="00AC57AB" w:rsidP="00CB10D1">
            <w:pPr>
              <w:pStyle w:val="TableParagraph"/>
              <w:ind w:left="113" w:right="113"/>
              <w:jc w:val="both"/>
              <w:rPr>
                <w:rFonts w:ascii="Aptos" w:hAnsi="Aptos"/>
              </w:rPr>
            </w:pPr>
            <w:r w:rsidRPr="00CB10D1">
              <w:rPr>
                <w:rFonts w:ascii="Aptos" w:hAnsi="Aptos"/>
              </w:rPr>
              <w:t>NIVEL 4 [Gestionado Cuantitativamente]: La organización está basada en datos con objetivos cuantitativos de mejora del desempeño que son predecibles</w:t>
            </w:r>
          </w:p>
        </w:tc>
        <w:tc>
          <w:tcPr>
            <w:tcW w:w="2945" w:type="pct"/>
          </w:tcPr>
          <w:p w14:paraId="5B61C4B0" w14:textId="11FA0F18" w:rsidR="00AC57AB" w:rsidRPr="00CB10D1" w:rsidRDefault="00AC57AB" w:rsidP="00CB10D1">
            <w:pPr>
              <w:pStyle w:val="Prrafodelista"/>
              <w:ind w:left="567" w:right="283" w:firstLine="0"/>
              <w:jc w:val="both"/>
              <w:rPr>
                <w:rFonts w:ascii="Aptos" w:hAnsi="Aptos"/>
              </w:rPr>
            </w:pPr>
          </w:p>
        </w:tc>
      </w:tr>
      <w:tr w:rsidR="00D3338A" w:rsidRPr="00CB10D1" w14:paraId="03B339BA" w14:textId="77777777" w:rsidTr="00E9376A">
        <w:trPr>
          <w:trHeight w:val="20"/>
        </w:trPr>
        <w:tc>
          <w:tcPr>
            <w:tcW w:w="2055" w:type="pct"/>
            <w:shd w:val="clear" w:color="auto" w:fill="002060"/>
          </w:tcPr>
          <w:p w14:paraId="7922A5BD" w14:textId="77777777" w:rsidR="00D3338A" w:rsidRPr="00CB10D1" w:rsidRDefault="00D3338A" w:rsidP="00CB10D1">
            <w:pPr>
              <w:pStyle w:val="TableParagraph"/>
              <w:spacing w:before="4"/>
              <w:ind w:left="113" w:right="113"/>
              <w:jc w:val="both"/>
              <w:rPr>
                <w:rFonts w:ascii="Aptos" w:hAnsi="Aptos"/>
                <w:b/>
              </w:rPr>
            </w:pPr>
          </w:p>
          <w:p w14:paraId="413D486F" w14:textId="77777777" w:rsidR="00D3338A" w:rsidRPr="00CB10D1" w:rsidRDefault="00D3338A" w:rsidP="00CB10D1">
            <w:pPr>
              <w:pStyle w:val="TableParagraph"/>
              <w:spacing w:before="0"/>
              <w:ind w:left="113" w:right="113"/>
              <w:jc w:val="both"/>
              <w:rPr>
                <w:rFonts w:ascii="Aptos" w:hAnsi="Aptos"/>
              </w:rPr>
            </w:pPr>
            <w:r w:rsidRPr="00CB10D1">
              <w:rPr>
                <w:rFonts w:ascii="Aptos" w:hAnsi="Aptos"/>
              </w:rPr>
              <w:t>NIVEL 5 [Optimizado]: La organización se centra en la mejora continua y está diseñada para girar y responder a las oportunidades y los cambios.</w:t>
            </w:r>
          </w:p>
        </w:tc>
        <w:tc>
          <w:tcPr>
            <w:tcW w:w="2945" w:type="pct"/>
          </w:tcPr>
          <w:p w14:paraId="67109F11" w14:textId="45FCB3C6" w:rsidR="00D3338A" w:rsidRPr="00CB10D1" w:rsidRDefault="00D3338A" w:rsidP="00CB10D1">
            <w:pPr>
              <w:pStyle w:val="TableParagraph"/>
              <w:tabs>
                <w:tab w:val="left" w:pos="314"/>
              </w:tabs>
              <w:spacing w:before="75"/>
              <w:ind w:left="567" w:right="283"/>
              <w:rPr>
                <w:rFonts w:ascii="Aptos" w:hAnsi="Aptos"/>
                <w:w w:val="110"/>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653E06">
          <w:pgSz w:w="20160" w:h="12240" w:orient="landscape"/>
          <w:pgMar w:top="1340" w:right="1400" w:bottom="1320" w:left="880" w:header="567" w:footer="681" w:gutter="0"/>
          <w:cols w:space="720"/>
          <w:docGrid w:linePitch="299"/>
        </w:sectPr>
      </w:pPr>
    </w:p>
    <w:p w14:paraId="5D96825C" w14:textId="2CBF39AA" w:rsidR="007766F8" w:rsidRDefault="00CB10D1" w:rsidP="008E1B64">
      <w:pPr>
        <w:pStyle w:val="Prrafodelista"/>
        <w:numPr>
          <w:ilvl w:val="0"/>
          <w:numId w:val="3"/>
        </w:numPr>
        <w:pBdr>
          <w:bottom w:val="single" w:sz="6" w:space="1" w:color="auto"/>
        </w:pBdr>
        <w:rPr>
          <w:rFonts w:ascii="Aptos" w:hAnsi="Aptos"/>
          <w:b/>
          <w:spacing w:val="-3"/>
          <w:sz w:val="48"/>
          <w:szCs w:val="24"/>
        </w:rPr>
      </w:pPr>
      <w:r w:rsidRPr="00CB10D1">
        <w:rPr>
          <w:rFonts w:ascii="Aptos" w:hAnsi="Aptos"/>
          <w:b/>
          <w:spacing w:val="-5"/>
          <w:sz w:val="48"/>
          <w:szCs w:val="24"/>
        </w:rPr>
        <w:lastRenderedPageBreak/>
        <w:t xml:space="preserve">Preguntas </w:t>
      </w:r>
      <w:r w:rsidRPr="00CB10D1">
        <w:rPr>
          <w:rFonts w:ascii="Aptos" w:hAnsi="Aptos"/>
          <w:b/>
          <w:spacing w:val="-3"/>
          <w:sz w:val="48"/>
          <w:szCs w:val="24"/>
        </w:rPr>
        <w:t xml:space="preserve">de </w:t>
      </w:r>
      <w:r w:rsidR="00CE292C">
        <w:rPr>
          <w:rFonts w:ascii="Aptos" w:hAnsi="Aptos"/>
          <w:b/>
          <w:spacing w:val="-5"/>
          <w:sz w:val="48"/>
          <w:szCs w:val="24"/>
        </w:rPr>
        <w:t>A</w:t>
      </w:r>
      <w:r w:rsidRPr="00CB10D1">
        <w:rPr>
          <w:rFonts w:ascii="Aptos" w:hAnsi="Aptos"/>
          <w:b/>
          <w:spacing w:val="-5"/>
          <w:sz w:val="48"/>
          <w:szCs w:val="24"/>
        </w:rPr>
        <w:t xml:space="preserve">uditoría </w:t>
      </w:r>
      <w:r w:rsidRPr="00CB10D1">
        <w:rPr>
          <w:rFonts w:ascii="Aptos" w:hAnsi="Aptos"/>
          <w:b/>
          <w:spacing w:val="-4"/>
          <w:sz w:val="48"/>
          <w:szCs w:val="24"/>
        </w:rPr>
        <w:t xml:space="preserve">para </w:t>
      </w:r>
      <w:r w:rsidR="004709D5" w:rsidRPr="00CB10D1">
        <w:rPr>
          <w:rFonts w:ascii="Aptos" w:hAnsi="Aptos"/>
          <w:b/>
          <w:spacing w:val="-3"/>
          <w:sz w:val="48"/>
          <w:szCs w:val="24"/>
        </w:rPr>
        <w:t>Establecer la Política de Gestión de Configuración</w:t>
      </w:r>
    </w:p>
    <w:p w14:paraId="0E7C4A59" w14:textId="77777777" w:rsidR="00955B35" w:rsidRPr="00CB10D1" w:rsidRDefault="00955B35" w:rsidP="00955B35">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424EFDD4" w:rsidR="002D1F14" w:rsidRPr="008E1B64" w:rsidRDefault="0056582C" w:rsidP="004709D5">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2557CA" w:rsidRPr="002557CA">
              <w:rPr>
                <w:rFonts w:ascii="Aptos" w:hAnsi="Aptos"/>
                <w:spacing w:val="-4"/>
              </w:rPr>
              <w:t>Objetivos y Alcance de la Política de Gestión de Cambios</w:t>
            </w:r>
          </w:p>
        </w:tc>
      </w:tr>
      <w:tr w:rsidR="002D1F14" w:rsidRPr="007D390E" w14:paraId="63BB0CA4" w14:textId="77777777" w:rsidTr="001B16C7">
        <w:tc>
          <w:tcPr>
            <w:tcW w:w="5000" w:type="pct"/>
          </w:tcPr>
          <w:p w14:paraId="05F183C8" w14:textId="6C399455" w:rsidR="00D85275" w:rsidRDefault="00D85275" w:rsidP="00CB10D1">
            <w:pPr>
              <w:pStyle w:val="Textoindependiente"/>
              <w:spacing w:line="276" w:lineRule="auto"/>
              <w:ind w:left="100" w:right="108"/>
              <w:jc w:val="both"/>
              <w:rPr>
                <w:rFonts w:ascii="Aptos" w:hAnsi="Aptos"/>
                <w:sz w:val="28"/>
                <w:szCs w:val="28"/>
              </w:rPr>
            </w:pPr>
            <w:r w:rsidRPr="00D85275">
              <w:rPr>
                <w:rFonts w:ascii="Aptos" w:hAnsi="Aptos"/>
                <w:sz w:val="28"/>
                <w:szCs w:val="28"/>
              </w:rPr>
              <w:t xml:space="preserve">Los </w:t>
            </w:r>
            <w:r>
              <w:rPr>
                <w:rFonts w:ascii="Aptos" w:hAnsi="Aptos"/>
                <w:sz w:val="28"/>
                <w:szCs w:val="28"/>
              </w:rPr>
              <w:t>o</w:t>
            </w:r>
            <w:r w:rsidRPr="00D85275">
              <w:rPr>
                <w:rFonts w:ascii="Aptos" w:hAnsi="Aptos"/>
                <w:sz w:val="28"/>
                <w:szCs w:val="28"/>
              </w:rPr>
              <w:t xml:space="preserve">bjetivos y </w:t>
            </w:r>
            <w:r>
              <w:rPr>
                <w:rFonts w:ascii="Aptos" w:hAnsi="Aptos"/>
                <w:sz w:val="28"/>
                <w:szCs w:val="28"/>
              </w:rPr>
              <w:t>a</w:t>
            </w:r>
            <w:r w:rsidRPr="00D85275">
              <w:rPr>
                <w:rFonts w:ascii="Aptos" w:hAnsi="Aptos"/>
                <w:sz w:val="28"/>
                <w:szCs w:val="28"/>
              </w:rPr>
              <w:t xml:space="preserve">lcance de la </w:t>
            </w:r>
            <w:r>
              <w:rPr>
                <w:rFonts w:ascii="Aptos" w:hAnsi="Aptos"/>
                <w:sz w:val="28"/>
                <w:szCs w:val="28"/>
              </w:rPr>
              <w:t>p</w:t>
            </w:r>
            <w:r w:rsidRPr="00D85275">
              <w:rPr>
                <w:rFonts w:ascii="Aptos" w:hAnsi="Aptos"/>
                <w:sz w:val="28"/>
                <w:szCs w:val="28"/>
              </w:rPr>
              <w:t xml:space="preserve">olítica de </w:t>
            </w:r>
            <w:r>
              <w:rPr>
                <w:rFonts w:ascii="Aptos" w:hAnsi="Aptos"/>
                <w:sz w:val="28"/>
                <w:szCs w:val="28"/>
              </w:rPr>
              <w:t>g</w:t>
            </w:r>
            <w:r w:rsidRPr="00D85275">
              <w:rPr>
                <w:rFonts w:ascii="Aptos" w:hAnsi="Aptos"/>
                <w:sz w:val="28"/>
                <w:szCs w:val="28"/>
              </w:rPr>
              <w:t>estión d</w:t>
            </w:r>
            <w:r>
              <w:rPr>
                <w:rFonts w:ascii="Aptos" w:hAnsi="Aptos"/>
                <w:sz w:val="28"/>
                <w:szCs w:val="28"/>
              </w:rPr>
              <w:t>e</w:t>
            </w:r>
            <w:r w:rsidRPr="00D85275">
              <w:rPr>
                <w:rFonts w:ascii="Aptos" w:hAnsi="Aptos"/>
                <w:sz w:val="28"/>
                <w:szCs w:val="28"/>
              </w:rPr>
              <w:t xml:space="preserve"> </w:t>
            </w:r>
            <w:r>
              <w:rPr>
                <w:rFonts w:ascii="Aptos" w:hAnsi="Aptos"/>
                <w:sz w:val="28"/>
                <w:szCs w:val="28"/>
              </w:rPr>
              <w:t>c</w:t>
            </w:r>
            <w:r w:rsidRPr="00D85275">
              <w:rPr>
                <w:rFonts w:ascii="Aptos" w:hAnsi="Aptos"/>
                <w:sz w:val="28"/>
                <w:szCs w:val="28"/>
              </w:rPr>
              <w:t>ambios establecen las metas fundamentales y los límites dentro de los cuales se aplicará la política de gestión de configuración en una organización. Esta secció</w:t>
            </w:r>
            <w:r>
              <w:rPr>
                <w:rFonts w:ascii="Aptos" w:hAnsi="Aptos"/>
                <w:sz w:val="28"/>
                <w:szCs w:val="28"/>
              </w:rPr>
              <w:t>n</w:t>
            </w:r>
            <w:r w:rsidRPr="00D85275">
              <w:rPr>
                <w:rFonts w:ascii="Aptos" w:hAnsi="Aptos"/>
                <w:sz w:val="28"/>
                <w:szCs w:val="28"/>
              </w:rPr>
              <w:t xml:space="preserve"> define claramente lo que la política pretende lograr, como asegurar la estabilidad, seguridad y confiabilidad de los entornos de TI a través de la gestión controlada de cambios en las configuraciones de sistemas y aplicaciones. Además, detalla los sistemas, procesos y actores específicos que están sujetos a la política, garantizando que todos los involucrados comprendan sus roles y responsabilidades</w:t>
            </w:r>
            <w:r>
              <w:rPr>
                <w:rFonts w:ascii="Aptos" w:hAnsi="Aptos"/>
                <w:sz w:val="28"/>
                <w:szCs w:val="28"/>
              </w:rPr>
              <w:t>.</w:t>
            </w:r>
          </w:p>
          <w:p w14:paraId="3725C05C" w14:textId="667AC9D4" w:rsidR="002D1F14" w:rsidRPr="00D3338A" w:rsidRDefault="002D1F14" w:rsidP="004709D5">
            <w:pPr>
              <w:pStyle w:val="Textoindependiente"/>
              <w:spacing w:line="276" w:lineRule="auto"/>
              <w:ind w:left="100" w:right="108"/>
              <w:jc w:val="both"/>
              <w:rPr>
                <w:rFonts w:ascii="Aptos" w:hAnsi="Aptos"/>
                <w:sz w:val="28"/>
                <w:szCs w:val="28"/>
              </w:rPr>
            </w:pPr>
            <w:r w:rsidRPr="00D3338A">
              <w:rPr>
                <w:rFonts w:ascii="Aptos" w:hAnsi="Aptos"/>
                <w:sz w:val="28"/>
                <w:szCs w:val="28"/>
              </w:rPr>
              <w:t>Este levantamiento puede incluir análisis específicos tales como:</w:t>
            </w:r>
          </w:p>
          <w:p w14:paraId="02AEA4E2" w14:textId="77777777" w:rsidR="002557CA" w:rsidRPr="002557CA" w:rsidRDefault="002557CA" w:rsidP="002557CA">
            <w:pPr>
              <w:pStyle w:val="Textoindependiente"/>
              <w:numPr>
                <w:ilvl w:val="0"/>
                <w:numId w:val="30"/>
              </w:numPr>
              <w:spacing w:line="276" w:lineRule="auto"/>
              <w:ind w:right="108"/>
              <w:jc w:val="both"/>
              <w:rPr>
                <w:rFonts w:ascii="Aptos" w:hAnsi="Aptos"/>
                <w:bCs/>
                <w:spacing w:val="-4"/>
                <w:sz w:val="28"/>
                <w:szCs w:val="28"/>
              </w:rPr>
            </w:pPr>
            <w:r w:rsidRPr="002557CA">
              <w:rPr>
                <w:rFonts w:ascii="Aptos" w:hAnsi="Aptos"/>
                <w:bCs/>
                <w:spacing w:val="-4"/>
                <w:sz w:val="28"/>
                <w:szCs w:val="28"/>
              </w:rPr>
              <w:t>¿La política de gestión de cambios establece claramente el objetivo principal de proteger el negocio y otros servicios mientras se realizan cambios necesarios?</w:t>
            </w:r>
          </w:p>
          <w:p w14:paraId="00F82D60" w14:textId="77777777" w:rsidR="002557CA" w:rsidRPr="002557CA" w:rsidRDefault="002557CA" w:rsidP="002557CA">
            <w:pPr>
              <w:pStyle w:val="Textoindependiente"/>
              <w:numPr>
                <w:ilvl w:val="0"/>
                <w:numId w:val="30"/>
              </w:numPr>
              <w:spacing w:line="276" w:lineRule="auto"/>
              <w:ind w:right="108"/>
              <w:jc w:val="both"/>
              <w:rPr>
                <w:rFonts w:ascii="Aptos" w:hAnsi="Aptos"/>
                <w:bCs/>
                <w:spacing w:val="-4"/>
                <w:sz w:val="28"/>
                <w:szCs w:val="28"/>
              </w:rPr>
            </w:pPr>
            <w:r w:rsidRPr="002557CA">
              <w:rPr>
                <w:rFonts w:ascii="Aptos" w:hAnsi="Aptos"/>
                <w:bCs/>
                <w:spacing w:val="-4"/>
                <w:sz w:val="28"/>
                <w:szCs w:val="28"/>
              </w:rPr>
              <w:t>¿Se asegura que los cambios implementados estén alineados con los requisitos de servicio acordados con los clientes y, al mismo tiempo, optimicen los costos?</w:t>
            </w:r>
          </w:p>
          <w:p w14:paraId="4BF162FD" w14:textId="28808BAA" w:rsidR="002557CA" w:rsidRPr="002557CA" w:rsidRDefault="002557CA" w:rsidP="002557CA">
            <w:pPr>
              <w:pStyle w:val="Textoindependiente"/>
              <w:numPr>
                <w:ilvl w:val="0"/>
                <w:numId w:val="30"/>
              </w:numPr>
              <w:spacing w:line="276" w:lineRule="auto"/>
              <w:ind w:right="108"/>
              <w:jc w:val="both"/>
              <w:rPr>
                <w:rFonts w:ascii="Aptos" w:hAnsi="Aptos"/>
                <w:bCs/>
                <w:spacing w:val="-4"/>
                <w:sz w:val="28"/>
                <w:szCs w:val="28"/>
              </w:rPr>
            </w:pPr>
            <w:r w:rsidRPr="002557CA">
              <w:rPr>
                <w:rFonts w:ascii="Aptos" w:hAnsi="Aptos"/>
                <w:bCs/>
                <w:spacing w:val="-4"/>
                <w:sz w:val="28"/>
                <w:szCs w:val="28"/>
              </w:rPr>
              <w:t>¿La política de gestión de cambios establece la contribución al cumplimiento de requisitos legales, contractuales y regulatorios?</w:t>
            </w:r>
          </w:p>
          <w:p w14:paraId="066F6DB5" w14:textId="77777777" w:rsidR="002557CA" w:rsidRPr="002557CA" w:rsidRDefault="002557CA" w:rsidP="002557CA">
            <w:pPr>
              <w:pStyle w:val="Textoindependiente"/>
              <w:numPr>
                <w:ilvl w:val="0"/>
                <w:numId w:val="30"/>
              </w:numPr>
              <w:spacing w:line="276" w:lineRule="auto"/>
              <w:ind w:right="108"/>
              <w:jc w:val="both"/>
              <w:rPr>
                <w:rFonts w:ascii="Aptos" w:hAnsi="Aptos"/>
                <w:bCs/>
                <w:spacing w:val="-4"/>
                <w:sz w:val="28"/>
                <w:szCs w:val="28"/>
              </w:rPr>
            </w:pPr>
            <w:r w:rsidRPr="002557CA">
              <w:rPr>
                <w:rFonts w:ascii="Aptos" w:hAnsi="Aptos"/>
                <w:bCs/>
                <w:spacing w:val="-4"/>
                <w:sz w:val="28"/>
                <w:szCs w:val="28"/>
              </w:rPr>
              <w:t>¿Se han implementado medidas para reducir los cambios fallidos y minimizar la interrupción del servicio, los defectos y la repetición del trabajo?</w:t>
            </w:r>
          </w:p>
          <w:p w14:paraId="00B96742" w14:textId="72A91812" w:rsidR="002D1F14" w:rsidRPr="002557CA" w:rsidRDefault="002557CA" w:rsidP="002557CA">
            <w:pPr>
              <w:pStyle w:val="Textoindependiente"/>
              <w:numPr>
                <w:ilvl w:val="0"/>
                <w:numId w:val="30"/>
              </w:numPr>
              <w:spacing w:line="276" w:lineRule="auto"/>
              <w:ind w:right="108"/>
              <w:jc w:val="both"/>
              <w:rPr>
                <w:rFonts w:ascii="Aptos" w:hAnsi="Aptos"/>
                <w:b/>
                <w:spacing w:val="-4"/>
                <w:sz w:val="28"/>
                <w:szCs w:val="28"/>
              </w:rPr>
            </w:pPr>
            <w:r w:rsidRPr="002557CA">
              <w:rPr>
                <w:rFonts w:ascii="Aptos" w:hAnsi="Aptos"/>
                <w:bCs/>
                <w:spacing w:val="-4"/>
                <w:sz w:val="28"/>
                <w:szCs w:val="28"/>
              </w:rPr>
              <w:t>¿Existe un enfoque proactivo para reducir la cantidad de cambios no autorizados, contribuyendo a una disminución en la interrupción del servicio y en el tiempo de resolución de incidentes relacionados con cambios?</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736BD1C4" w:rsidR="002D1F14" w:rsidRPr="00BF583B" w:rsidRDefault="0056582C" w:rsidP="00BF583B">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002557CA" w:rsidRPr="002557CA">
              <w:rPr>
                <w:rFonts w:ascii="Aptos" w:hAnsi="Aptos"/>
                <w:spacing w:val="-4"/>
              </w:rPr>
              <w:t>Eficiencia de la Política de Gestión de Cambios</w:t>
            </w:r>
          </w:p>
        </w:tc>
      </w:tr>
      <w:tr w:rsidR="007D390E" w:rsidRPr="00A40309" w14:paraId="41121DA4" w14:textId="77777777" w:rsidTr="001B16C7">
        <w:tc>
          <w:tcPr>
            <w:tcW w:w="5000" w:type="pct"/>
          </w:tcPr>
          <w:p w14:paraId="13FE89E0" w14:textId="6B522E72" w:rsidR="0070496E" w:rsidRDefault="0070496E" w:rsidP="00CB10D1">
            <w:pPr>
              <w:pStyle w:val="Textoindependiente"/>
              <w:spacing w:line="276" w:lineRule="auto"/>
              <w:ind w:left="100" w:right="108"/>
              <w:jc w:val="both"/>
              <w:rPr>
                <w:rFonts w:ascii="Aptos" w:hAnsi="Aptos"/>
                <w:sz w:val="28"/>
                <w:szCs w:val="28"/>
              </w:rPr>
            </w:pPr>
            <w:r w:rsidRPr="0070496E">
              <w:rPr>
                <w:rFonts w:ascii="Aptos" w:hAnsi="Aptos"/>
                <w:sz w:val="28"/>
                <w:szCs w:val="28"/>
              </w:rPr>
              <w:t xml:space="preserve">La eficiencia de la </w:t>
            </w:r>
            <w:r>
              <w:rPr>
                <w:rFonts w:ascii="Aptos" w:hAnsi="Aptos"/>
                <w:sz w:val="28"/>
                <w:szCs w:val="28"/>
              </w:rPr>
              <w:t>p</w:t>
            </w:r>
            <w:r w:rsidRPr="0070496E">
              <w:rPr>
                <w:rFonts w:ascii="Aptos" w:hAnsi="Aptos"/>
                <w:sz w:val="28"/>
                <w:szCs w:val="28"/>
              </w:rPr>
              <w:t xml:space="preserve">olítica de </w:t>
            </w:r>
            <w:r>
              <w:rPr>
                <w:rFonts w:ascii="Aptos" w:hAnsi="Aptos"/>
                <w:sz w:val="28"/>
                <w:szCs w:val="28"/>
              </w:rPr>
              <w:t>g</w:t>
            </w:r>
            <w:r w:rsidRPr="0070496E">
              <w:rPr>
                <w:rFonts w:ascii="Aptos" w:hAnsi="Aptos"/>
                <w:sz w:val="28"/>
                <w:szCs w:val="28"/>
              </w:rPr>
              <w:t>estión d</w:t>
            </w:r>
            <w:r>
              <w:rPr>
                <w:rFonts w:ascii="Aptos" w:hAnsi="Aptos"/>
                <w:sz w:val="28"/>
                <w:szCs w:val="28"/>
              </w:rPr>
              <w:t>e</w:t>
            </w:r>
            <w:r w:rsidRPr="0070496E">
              <w:rPr>
                <w:rFonts w:ascii="Aptos" w:hAnsi="Aptos"/>
                <w:sz w:val="28"/>
                <w:szCs w:val="28"/>
              </w:rPr>
              <w:t xml:space="preserve"> </w:t>
            </w:r>
            <w:r>
              <w:rPr>
                <w:rFonts w:ascii="Aptos" w:hAnsi="Aptos"/>
                <w:sz w:val="28"/>
                <w:szCs w:val="28"/>
              </w:rPr>
              <w:t>c</w:t>
            </w:r>
            <w:r w:rsidRPr="0070496E">
              <w:rPr>
                <w:rFonts w:ascii="Aptos" w:hAnsi="Aptos"/>
                <w:sz w:val="28"/>
                <w:szCs w:val="28"/>
              </w:rPr>
              <w:t xml:space="preserve">ambios se refiere a la capacidad de la política para facilitar cambios seguros, oportunos y efectivos dentro de la infraestructura de TI, minimizando al mismo tiempo las interrupciones y maximizando el valor para la organización. Esta eficiencia se mide por la rapidez con la que se pueden implementar los cambios sin comprometer la seguridad, la precisión en la alineación de los cambios con los objetivos empresariales y de seguridad, y la minimización del impacto negativo en las operaciones diarias. Una política eficiente debe </w:t>
            </w:r>
            <w:r w:rsidRPr="0070496E">
              <w:rPr>
                <w:rFonts w:ascii="Aptos" w:hAnsi="Aptos"/>
                <w:sz w:val="28"/>
                <w:szCs w:val="28"/>
              </w:rPr>
              <w:lastRenderedPageBreak/>
              <w:t xml:space="preserve">equilibrar la necesidad de agilidad y adaptabilidad en un entorno tecnológico en constante cambio con la imperativa necesidad de mantener la integridad y seguridad de los sistemas. </w:t>
            </w:r>
          </w:p>
          <w:p w14:paraId="4A516C93" w14:textId="38B85E18" w:rsidR="002D1F14" w:rsidRDefault="002D1F14" w:rsidP="004709D5">
            <w:pPr>
              <w:pStyle w:val="Textoindependiente"/>
              <w:spacing w:line="276" w:lineRule="auto"/>
              <w:ind w:left="100" w:right="108"/>
              <w:jc w:val="both"/>
              <w:rPr>
                <w:rFonts w:ascii="Aptos" w:hAnsi="Aptos"/>
                <w:sz w:val="28"/>
                <w:szCs w:val="28"/>
              </w:rPr>
            </w:pPr>
            <w:r w:rsidRPr="00BF583B">
              <w:rPr>
                <w:rFonts w:ascii="Aptos" w:hAnsi="Aptos"/>
                <w:sz w:val="28"/>
                <w:szCs w:val="28"/>
              </w:rPr>
              <w:t>Este levantamiento puede incluir análisis específicos tales como:</w:t>
            </w:r>
          </w:p>
          <w:p w14:paraId="586D3962" w14:textId="1E4C3DCA" w:rsidR="0070496E" w:rsidRPr="0070496E" w:rsidRDefault="0070496E" w:rsidP="0070496E">
            <w:pPr>
              <w:pStyle w:val="Textoindependiente"/>
              <w:numPr>
                <w:ilvl w:val="0"/>
                <w:numId w:val="30"/>
              </w:numPr>
              <w:spacing w:line="276" w:lineRule="auto"/>
              <w:ind w:right="108"/>
              <w:jc w:val="both"/>
              <w:rPr>
                <w:rFonts w:ascii="Aptos" w:hAnsi="Aptos"/>
                <w:sz w:val="28"/>
                <w:szCs w:val="28"/>
              </w:rPr>
            </w:pPr>
            <w:r w:rsidRPr="0070496E">
              <w:rPr>
                <w:rFonts w:ascii="Aptos" w:hAnsi="Aptos"/>
                <w:sz w:val="28"/>
                <w:szCs w:val="28"/>
              </w:rPr>
              <w:t xml:space="preserve"> ¿La política de gestión de cambios respalda la entrega rápida de cambios para cumplir con los plazos comerciales establecidos?</w:t>
            </w:r>
          </w:p>
          <w:p w14:paraId="713F3752" w14:textId="6DEB3BC8" w:rsidR="0070496E" w:rsidRPr="0070496E" w:rsidRDefault="0070496E" w:rsidP="0070496E">
            <w:pPr>
              <w:pStyle w:val="Textoindependiente"/>
              <w:numPr>
                <w:ilvl w:val="0"/>
                <w:numId w:val="30"/>
              </w:numPr>
              <w:spacing w:line="276" w:lineRule="auto"/>
              <w:ind w:right="108"/>
              <w:jc w:val="both"/>
              <w:rPr>
                <w:rFonts w:ascii="Aptos" w:hAnsi="Aptos"/>
                <w:sz w:val="28"/>
                <w:szCs w:val="28"/>
              </w:rPr>
            </w:pPr>
            <w:r w:rsidRPr="0070496E">
              <w:rPr>
                <w:rFonts w:ascii="Aptos" w:hAnsi="Aptos"/>
                <w:sz w:val="28"/>
                <w:szCs w:val="28"/>
              </w:rPr>
              <w:t xml:space="preserve"> ¿Se realiza un seguimiento efectivo de los cambios a lo largo de su ciclo de vida y de los activos de los clientes relacionados?</w:t>
            </w:r>
          </w:p>
          <w:p w14:paraId="213A3303" w14:textId="746159D8" w:rsidR="0070496E" w:rsidRPr="0070496E" w:rsidRDefault="0070496E" w:rsidP="0070496E">
            <w:pPr>
              <w:pStyle w:val="Textoindependiente"/>
              <w:numPr>
                <w:ilvl w:val="0"/>
                <w:numId w:val="30"/>
              </w:numPr>
              <w:spacing w:line="276" w:lineRule="auto"/>
              <w:ind w:right="108"/>
              <w:jc w:val="both"/>
              <w:rPr>
                <w:rFonts w:ascii="Aptos" w:hAnsi="Aptos"/>
                <w:sz w:val="28"/>
                <w:szCs w:val="28"/>
              </w:rPr>
            </w:pPr>
            <w:r w:rsidRPr="0070496E">
              <w:rPr>
                <w:rFonts w:ascii="Aptos" w:hAnsi="Aptos"/>
                <w:sz w:val="28"/>
                <w:szCs w:val="28"/>
              </w:rPr>
              <w:t xml:space="preserve"> ¿Contribuye la gestión de cambios a estimaciones más precisas de calidad, tiempo y costos de los cambios?</w:t>
            </w:r>
          </w:p>
          <w:p w14:paraId="50C3B50F" w14:textId="55C0ACC7" w:rsidR="0070496E" w:rsidRPr="0070496E" w:rsidRDefault="0070496E" w:rsidP="0070496E">
            <w:pPr>
              <w:pStyle w:val="Textoindependiente"/>
              <w:numPr>
                <w:ilvl w:val="0"/>
                <w:numId w:val="30"/>
              </w:numPr>
              <w:spacing w:line="276" w:lineRule="auto"/>
              <w:ind w:right="108"/>
              <w:jc w:val="both"/>
              <w:rPr>
                <w:rFonts w:ascii="Aptos" w:hAnsi="Aptos"/>
                <w:sz w:val="28"/>
                <w:szCs w:val="28"/>
              </w:rPr>
            </w:pPr>
            <w:r w:rsidRPr="0070496E">
              <w:rPr>
                <w:rFonts w:ascii="Aptos" w:hAnsi="Aptos"/>
                <w:sz w:val="28"/>
                <w:szCs w:val="28"/>
              </w:rPr>
              <w:t xml:space="preserve"> ¿Se evalúan adecuadamente los riesgos asociados a la transición de servicios, ya sea en su introducción o enajenación?</w:t>
            </w:r>
          </w:p>
          <w:p w14:paraId="746E286F" w14:textId="5BB12B21" w:rsidR="004709D5" w:rsidRPr="002557CA" w:rsidRDefault="0070496E" w:rsidP="0070496E">
            <w:pPr>
              <w:pStyle w:val="Textoindependiente"/>
              <w:numPr>
                <w:ilvl w:val="0"/>
                <w:numId w:val="30"/>
              </w:numPr>
              <w:spacing w:line="276" w:lineRule="auto"/>
              <w:ind w:right="108"/>
              <w:jc w:val="both"/>
              <w:rPr>
                <w:rFonts w:ascii="Aptos" w:hAnsi="Aptos"/>
                <w:sz w:val="28"/>
                <w:szCs w:val="28"/>
              </w:rPr>
            </w:pPr>
            <w:r w:rsidRPr="0070496E">
              <w:rPr>
                <w:rFonts w:ascii="Aptos" w:hAnsi="Aptos"/>
                <w:sz w:val="28"/>
                <w:szCs w:val="28"/>
              </w:rPr>
              <w:t xml:space="preserve"> ¿La política de gestión de cambios contribuye a una mejora en la productividad del personal al minimizar las interrupciones causadas por cambios no planificados o de "emergencia"?</w:t>
            </w:r>
          </w:p>
        </w:tc>
      </w:tr>
    </w:tbl>
    <w:p w14:paraId="6E3112BD" w14:textId="77777777" w:rsidR="00BF583B" w:rsidRDefault="00BF583B"/>
    <w:tbl>
      <w:tblPr>
        <w:tblStyle w:val="Tablaconcuadrcula"/>
        <w:tblW w:w="5000" w:type="pct"/>
        <w:tblLook w:val="04A0" w:firstRow="1" w:lastRow="0" w:firstColumn="1" w:lastColumn="0" w:noHBand="0" w:noVBand="1"/>
      </w:tblPr>
      <w:tblGrid>
        <w:gridCol w:w="17870"/>
      </w:tblGrid>
      <w:tr w:rsidR="007D390E" w:rsidRPr="00A40309" w14:paraId="3CD60C52" w14:textId="77777777" w:rsidTr="001B16C7">
        <w:tc>
          <w:tcPr>
            <w:tcW w:w="5000" w:type="pct"/>
            <w:shd w:val="clear" w:color="auto" w:fill="002060"/>
          </w:tcPr>
          <w:p w14:paraId="50A09DE4" w14:textId="77C3C9EE" w:rsidR="009313B9" w:rsidRPr="00A40309" w:rsidRDefault="0056582C" w:rsidP="004709D5">
            <w:pPr>
              <w:pStyle w:val="Ttulo2"/>
              <w:numPr>
                <w:ilvl w:val="1"/>
                <w:numId w:val="2"/>
              </w:numPr>
              <w:tabs>
                <w:tab w:val="left" w:pos="687"/>
              </w:tabs>
              <w:spacing w:line="276" w:lineRule="auto"/>
              <w:ind w:left="686"/>
              <w:jc w:val="both"/>
              <w:rPr>
                <w:rFonts w:ascii="Aptos" w:hAnsi="Aptos"/>
              </w:rPr>
            </w:pPr>
            <w:r w:rsidRPr="004709D5">
              <w:rPr>
                <w:rFonts w:ascii="Aptos" w:hAnsi="Aptos"/>
                <w:spacing w:val="-4"/>
              </w:rPr>
              <w:t xml:space="preserve">Temática: </w:t>
            </w:r>
            <w:r w:rsidR="002557CA" w:rsidRPr="002557CA">
              <w:rPr>
                <w:rFonts w:ascii="Aptos" w:hAnsi="Aptos"/>
                <w:spacing w:val="-4"/>
              </w:rPr>
              <w:t>Integración y Coordinación de Cambios de la Política de Gestión de Cambios</w:t>
            </w:r>
          </w:p>
        </w:tc>
      </w:tr>
      <w:tr w:rsidR="009313B9" w:rsidRPr="00A40309" w14:paraId="51D9FD4A" w14:textId="77777777" w:rsidTr="001B16C7">
        <w:tc>
          <w:tcPr>
            <w:tcW w:w="5000" w:type="pct"/>
          </w:tcPr>
          <w:p w14:paraId="0A137BA6" w14:textId="4DF9D786" w:rsidR="0070496E" w:rsidRDefault="0070496E" w:rsidP="00CB10D1">
            <w:pPr>
              <w:pStyle w:val="Textoindependiente"/>
              <w:spacing w:line="276" w:lineRule="auto"/>
              <w:ind w:left="100" w:right="547"/>
              <w:jc w:val="both"/>
              <w:rPr>
                <w:rFonts w:ascii="Aptos" w:hAnsi="Aptos"/>
                <w:sz w:val="28"/>
                <w:szCs w:val="28"/>
              </w:rPr>
            </w:pPr>
            <w:r w:rsidRPr="0070496E">
              <w:rPr>
                <w:rFonts w:ascii="Aptos" w:hAnsi="Aptos"/>
                <w:sz w:val="28"/>
                <w:szCs w:val="28"/>
              </w:rPr>
              <w:t xml:space="preserve">La </w:t>
            </w:r>
            <w:r>
              <w:rPr>
                <w:rFonts w:ascii="Aptos" w:hAnsi="Aptos"/>
                <w:sz w:val="28"/>
                <w:szCs w:val="28"/>
              </w:rPr>
              <w:t>i</w:t>
            </w:r>
            <w:r w:rsidRPr="0070496E">
              <w:rPr>
                <w:rFonts w:ascii="Aptos" w:hAnsi="Aptos"/>
                <w:sz w:val="28"/>
                <w:szCs w:val="28"/>
              </w:rPr>
              <w:t xml:space="preserve">ntegración y </w:t>
            </w:r>
            <w:r>
              <w:rPr>
                <w:rFonts w:ascii="Aptos" w:hAnsi="Aptos"/>
                <w:sz w:val="28"/>
                <w:szCs w:val="28"/>
              </w:rPr>
              <w:t>c</w:t>
            </w:r>
            <w:r w:rsidRPr="0070496E">
              <w:rPr>
                <w:rFonts w:ascii="Aptos" w:hAnsi="Aptos"/>
                <w:sz w:val="28"/>
                <w:szCs w:val="28"/>
              </w:rPr>
              <w:t xml:space="preserve">oordinación de </w:t>
            </w:r>
            <w:r>
              <w:rPr>
                <w:rFonts w:ascii="Aptos" w:hAnsi="Aptos"/>
                <w:sz w:val="28"/>
                <w:szCs w:val="28"/>
              </w:rPr>
              <w:t>c</w:t>
            </w:r>
            <w:r w:rsidRPr="0070496E">
              <w:rPr>
                <w:rFonts w:ascii="Aptos" w:hAnsi="Aptos"/>
                <w:sz w:val="28"/>
                <w:szCs w:val="28"/>
              </w:rPr>
              <w:t xml:space="preserve">ambios de la </w:t>
            </w:r>
            <w:r>
              <w:rPr>
                <w:rFonts w:ascii="Aptos" w:hAnsi="Aptos"/>
                <w:sz w:val="28"/>
                <w:szCs w:val="28"/>
              </w:rPr>
              <w:t>p</w:t>
            </w:r>
            <w:r w:rsidRPr="0070496E">
              <w:rPr>
                <w:rFonts w:ascii="Aptos" w:hAnsi="Aptos"/>
                <w:sz w:val="28"/>
                <w:szCs w:val="28"/>
              </w:rPr>
              <w:t xml:space="preserve">olítica de </w:t>
            </w:r>
            <w:r>
              <w:rPr>
                <w:rFonts w:ascii="Aptos" w:hAnsi="Aptos"/>
                <w:sz w:val="28"/>
                <w:szCs w:val="28"/>
              </w:rPr>
              <w:t>g</w:t>
            </w:r>
            <w:r w:rsidRPr="0070496E">
              <w:rPr>
                <w:rFonts w:ascii="Aptos" w:hAnsi="Aptos"/>
                <w:sz w:val="28"/>
                <w:szCs w:val="28"/>
              </w:rPr>
              <w:t xml:space="preserve">estión de </w:t>
            </w:r>
            <w:r>
              <w:rPr>
                <w:rFonts w:ascii="Aptos" w:hAnsi="Aptos"/>
                <w:sz w:val="28"/>
                <w:szCs w:val="28"/>
              </w:rPr>
              <w:t>c</w:t>
            </w:r>
            <w:r w:rsidRPr="0070496E">
              <w:rPr>
                <w:rFonts w:ascii="Aptos" w:hAnsi="Aptos"/>
                <w:sz w:val="28"/>
                <w:szCs w:val="28"/>
              </w:rPr>
              <w:t>ambios</w:t>
            </w:r>
            <w:r>
              <w:rPr>
                <w:rFonts w:ascii="Aptos" w:hAnsi="Aptos"/>
                <w:sz w:val="28"/>
                <w:szCs w:val="28"/>
              </w:rPr>
              <w:t xml:space="preserve"> asegura</w:t>
            </w:r>
            <w:r w:rsidRPr="0070496E">
              <w:rPr>
                <w:rFonts w:ascii="Aptos" w:hAnsi="Aptos"/>
                <w:sz w:val="28"/>
                <w:szCs w:val="28"/>
              </w:rPr>
              <w:t xml:space="preserve"> que las modificaciones a las políticas y procedimientos de gestión de cambios se realicen de manera armónica con las prácticas y sistemas existentes dentro de la organización. Esta temática enfatiza la importancia de una comunicación efectiva y colaboración entre los departamentos, garantizando que los cambios en la política sean comprendidos, aceptados y aplicados consistentemente a través de todas las áreas relevantes. La integración exitosa implica alinear los cambios de la política con los objetivos estratégicos de la organización, así como con otras políticas y procedimientos de seguridad y operaciones de TI. </w:t>
            </w:r>
          </w:p>
          <w:p w14:paraId="57701CF0" w14:textId="62614F68" w:rsidR="009313B9" w:rsidRPr="00A40309" w:rsidRDefault="009313B9" w:rsidP="001C1C17">
            <w:pPr>
              <w:pStyle w:val="Textoindependiente"/>
              <w:spacing w:line="276" w:lineRule="auto"/>
              <w:ind w:left="100" w:right="547"/>
              <w:jc w:val="both"/>
              <w:rPr>
                <w:rFonts w:ascii="Aptos" w:hAnsi="Aptos"/>
                <w:sz w:val="28"/>
                <w:szCs w:val="28"/>
              </w:rPr>
            </w:pPr>
            <w:r w:rsidRPr="00A40309">
              <w:rPr>
                <w:rFonts w:ascii="Aptos" w:hAnsi="Aptos"/>
                <w:sz w:val="28"/>
                <w:szCs w:val="28"/>
              </w:rPr>
              <w:t>Este levantamiento puede incluir análisis específicos tales como:</w:t>
            </w:r>
          </w:p>
          <w:p w14:paraId="0E5FAD83" w14:textId="393F8186" w:rsidR="0070496E" w:rsidRPr="0070496E" w:rsidRDefault="0070496E" w:rsidP="0070496E">
            <w:pPr>
              <w:pStyle w:val="Textoindependiente"/>
              <w:numPr>
                <w:ilvl w:val="0"/>
                <w:numId w:val="30"/>
              </w:numPr>
              <w:spacing w:line="276" w:lineRule="auto"/>
              <w:jc w:val="both"/>
              <w:rPr>
                <w:rFonts w:ascii="Aptos" w:hAnsi="Aptos"/>
                <w:sz w:val="28"/>
                <w:szCs w:val="28"/>
              </w:rPr>
            </w:pPr>
            <w:r w:rsidRPr="0070496E">
              <w:rPr>
                <w:rFonts w:ascii="Aptos" w:hAnsi="Aptos"/>
                <w:sz w:val="28"/>
                <w:szCs w:val="28"/>
              </w:rPr>
              <w:t>¿La política de gestión de cambios fomenta la creación de una cultura organizacional donde no se toleren los cambios no autorizados?</w:t>
            </w:r>
          </w:p>
          <w:p w14:paraId="07904645" w14:textId="6D4261F6" w:rsidR="0070496E" w:rsidRPr="0070496E" w:rsidRDefault="0070496E" w:rsidP="0070496E">
            <w:pPr>
              <w:pStyle w:val="Textoindependiente"/>
              <w:numPr>
                <w:ilvl w:val="0"/>
                <w:numId w:val="30"/>
              </w:numPr>
              <w:spacing w:line="276" w:lineRule="auto"/>
              <w:jc w:val="both"/>
              <w:rPr>
                <w:rFonts w:ascii="Aptos" w:hAnsi="Aptos"/>
                <w:sz w:val="28"/>
                <w:szCs w:val="28"/>
              </w:rPr>
            </w:pPr>
            <w:r w:rsidRPr="0070496E">
              <w:rPr>
                <w:rFonts w:ascii="Aptos" w:hAnsi="Aptos"/>
                <w:sz w:val="28"/>
                <w:szCs w:val="28"/>
              </w:rPr>
              <w:t>¿Se establecen vínculos efectivos entre el proceso de gestión de cambios y los procesos de cambio empresarial, proyectos y stakeholders?</w:t>
            </w:r>
          </w:p>
          <w:p w14:paraId="44E48A13" w14:textId="1DC8DC12" w:rsidR="0070496E" w:rsidRPr="0070496E" w:rsidRDefault="0070496E" w:rsidP="0070496E">
            <w:pPr>
              <w:pStyle w:val="Textoindependiente"/>
              <w:numPr>
                <w:ilvl w:val="0"/>
                <w:numId w:val="30"/>
              </w:numPr>
              <w:spacing w:line="276" w:lineRule="auto"/>
              <w:jc w:val="both"/>
              <w:rPr>
                <w:rFonts w:ascii="Aptos" w:hAnsi="Aptos"/>
                <w:sz w:val="28"/>
                <w:szCs w:val="28"/>
              </w:rPr>
            </w:pPr>
            <w:r w:rsidRPr="0070496E">
              <w:rPr>
                <w:rFonts w:ascii="Aptos" w:hAnsi="Aptos"/>
                <w:sz w:val="28"/>
                <w:szCs w:val="28"/>
              </w:rPr>
              <w:t>¿Se garantiza que los cambios generen valor empresarial y que se midan e informen los beneficios para el negocio?</w:t>
            </w:r>
          </w:p>
          <w:p w14:paraId="0E91DFE9" w14:textId="49675F89" w:rsidR="0070496E" w:rsidRPr="0070496E" w:rsidRDefault="0070496E" w:rsidP="0070496E">
            <w:pPr>
              <w:pStyle w:val="Textoindependiente"/>
              <w:numPr>
                <w:ilvl w:val="0"/>
                <w:numId w:val="30"/>
              </w:numPr>
              <w:spacing w:line="276" w:lineRule="auto"/>
              <w:jc w:val="both"/>
              <w:rPr>
                <w:rFonts w:ascii="Aptos" w:hAnsi="Aptos"/>
                <w:sz w:val="28"/>
                <w:szCs w:val="28"/>
              </w:rPr>
            </w:pPr>
            <w:r w:rsidRPr="0070496E">
              <w:rPr>
                <w:rFonts w:ascii="Aptos" w:hAnsi="Aptos"/>
                <w:sz w:val="28"/>
                <w:szCs w:val="28"/>
              </w:rPr>
              <w:t>¿Existe un punto focal único para la gestión de cambios con el fin de minimizar la probabilidad de cambios conflictivos y posibles interrupciones en los entornos compatibles?</w:t>
            </w:r>
          </w:p>
          <w:p w14:paraId="0733308B" w14:textId="0A600FD4" w:rsidR="009313B9" w:rsidRPr="002557CA" w:rsidRDefault="0070496E" w:rsidP="0070496E">
            <w:pPr>
              <w:pStyle w:val="Textoindependiente"/>
              <w:numPr>
                <w:ilvl w:val="0"/>
                <w:numId w:val="30"/>
              </w:numPr>
              <w:spacing w:line="276" w:lineRule="auto"/>
              <w:jc w:val="both"/>
              <w:rPr>
                <w:rFonts w:ascii="Aptos" w:hAnsi="Aptos"/>
                <w:sz w:val="28"/>
                <w:szCs w:val="28"/>
              </w:rPr>
            </w:pPr>
            <w:r w:rsidRPr="0070496E">
              <w:rPr>
                <w:rFonts w:ascii="Aptos" w:hAnsi="Aptos"/>
                <w:sz w:val="28"/>
                <w:szCs w:val="28"/>
              </w:rPr>
              <w:lastRenderedPageBreak/>
              <w:t>¿Se evita que personas no autorizadas tengan acceso a entornos soportados y se asegura la integridad de los cambios?</w:t>
            </w:r>
          </w:p>
        </w:tc>
      </w:tr>
    </w:tbl>
    <w:p w14:paraId="1F94B635" w14:textId="613BC08A" w:rsidR="007766F8" w:rsidRDefault="007766F8" w:rsidP="00771396">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557CA" w:rsidRPr="00A40309" w14:paraId="3B716C1D" w14:textId="77777777" w:rsidTr="001A0A4B">
        <w:tc>
          <w:tcPr>
            <w:tcW w:w="5000" w:type="pct"/>
            <w:shd w:val="clear" w:color="auto" w:fill="002060"/>
          </w:tcPr>
          <w:p w14:paraId="0735F129" w14:textId="123E9B09" w:rsidR="002557CA" w:rsidRPr="00A40309" w:rsidRDefault="002557CA" w:rsidP="001A0A4B">
            <w:pPr>
              <w:pStyle w:val="Ttulo2"/>
              <w:numPr>
                <w:ilvl w:val="1"/>
                <w:numId w:val="2"/>
              </w:numPr>
              <w:tabs>
                <w:tab w:val="left" w:pos="687"/>
              </w:tabs>
              <w:spacing w:line="276" w:lineRule="auto"/>
              <w:ind w:left="686"/>
              <w:jc w:val="both"/>
              <w:rPr>
                <w:rFonts w:ascii="Aptos" w:hAnsi="Aptos"/>
              </w:rPr>
            </w:pPr>
            <w:r w:rsidRPr="004709D5">
              <w:rPr>
                <w:rFonts w:ascii="Aptos" w:hAnsi="Aptos"/>
                <w:spacing w:val="-4"/>
              </w:rPr>
              <w:t xml:space="preserve">Temática: </w:t>
            </w:r>
            <w:r w:rsidRPr="002557CA">
              <w:rPr>
                <w:rFonts w:ascii="Aptos" w:hAnsi="Aptos"/>
                <w:spacing w:val="-4"/>
              </w:rPr>
              <w:t>Política Contempla Registro y Evaluación de los Cambios</w:t>
            </w:r>
          </w:p>
        </w:tc>
      </w:tr>
      <w:tr w:rsidR="002557CA" w:rsidRPr="00A40309" w14:paraId="5AD525B6" w14:textId="77777777" w:rsidTr="001A0A4B">
        <w:tc>
          <w:tcPr>
            <w:tcW w:w="5000" w:type="pct"/>
          </w:tcPr>
          <w:p w14:paraId="35B8E27B" w14:textId="11364796" w:rsidR="0070496E" w:rsidRDefault="0070496E" w:rsidP="00CB10D1">
            <w:pPr>
              <w:pStyle w:val="Textoindependiente"/>
              <w:spacing w:line="276" w:lineRule="auto"/>
              <w:ind w:left="100" w:right="547"/>
              <w:jc w:val="both"/>
              <w:rPr>
                <w:rFonts w:ascii="Aptos" w:hAnsi="Aptos"/>
                <w:sz w:val="28"/>
                <w:szCs w:val="28"/>
              </w:rPr>
            </w:pPr>
            <w:r w:rsidRPr="0070496E">
              <w:rPr>
                <w:rFonts w:ascii="Aptos" w:hAnsi="Aptos"/>
                <w:sz w:val="28"/>
                <w:szCs w:val="28"/>
              </w:rPr>
              <w:t>Esta parte de la política establece la necesidad de documentar de forma exhaustiva cada cambio propuesto, incluyendo su justificación, el análisis de impacto, las pruebas realizadas y la revisión de los resultados post-implementación. La evaluación rigurosa de los cambios antes de su aprobación y ejecución ayuda a identificar potenciales riesgos y repercusiones, asegurando que las decisiones se tomen con una comprensión completa de sus implicaciones</w:t>
            </w:r>
            <w:r>
              <w:rPr>
                <w:rFonts w:ascii="Aptos" w:hAnsi="Aptos"/>
                <w:sz w:val="28"/>
                <w:szCs w:val="28"/>
              </w:rPr>
              <w:t>.</w:t>
            </w:r>
          </w:p>
          <w:p w14:paraId="094D738C" w14:textId="67FD393A" w:rsidR="002557CA" w:rsidRPr="00A40309" w:rsidRDefault="002557CA" w:rsidP="001A0A4B">
            <w:pPr>
              <w:pStyle w:val="Textoindependiente"/>
              <w:spacing w:line="276" w:lineRule="auto"/>
              <w:ind w:left="100" w:right="547"/>
              <w:jc w:val="both"/>
              <w:rPr>
                <w:rFonts w:ascii="Aptos" w:hAnsi="Aptos"/>
                <w:sz w:val="28"/>
                <w:szCs w:val="28"/>
              </w:rPr>
            </w:pPr>
            <w:r w:rsidRPr="00A40309">
              <w:rPr>
                <w:rFonts w:ascii="Aptos" w:hAnsi="Aptos"/>
                <w:sz w:val="28"/>
                <w:szCs w:val="28"/>
              </w:rPr>
              <w:t>Este levantamiento puede incluir análisis específicos tales como:</w:t>
            </w:r>
          </w:p>
          <w:p w14:paraId="63293625" w14:textId="18D8AE88" w:rsidR="002557CA" w:rsidRPr="002557CA" w:rsidRDefault="002557CA" w:rsidP="002557CA">
            <w:pPr>
              <w:pStyle w:val="Textoindependiente"/>
              <w:numPr>
                <w:ilvl w:val="0"/>
                <w:numId w:val="30"/>
              </w:numPr>
              <w:spacing w:line="276" w:lineRule="auto"/>
              <w:jc w:val="both"/>
              <w:rPr>
                <w:rFonts w:ascii="Aptos" w:hAnsi="Aptos"/>
                <w:sz w:val="28"/>
                <w:szCs w:val="28"/>
              </w:rPr>
            </w:pPr>
            <w:r w:rsidRPr="002557CA">
              <w:rPr>
                <w:rFonts w:ascii="Aptos" w:hAnsi="Aptos"/>
                <w:sz w:val="28"/>
                <w:szCs w:val="28"/>
              </w:rPr>
              <w:t>¿La política de gestión de cambios promueve la integración con otros procesos de gestión de servicios para establecer trazabilidad del cambio, detectar cambios no autorizados e identificar incidentes relacionados con el cambio?</w:t>
            </w:r>
          </w:p>
          <w:p w14:paraId="3F0F0F32" w14:textId="468B65CD" w:rsidR="002557CA" w:rsidRPr="002557CA" w:rsidRDefault="002557CA" w:rsidP="002557CA">
            <w:pPr>
              <w:pStyle w:val="Textoindependiente"/>
              <w:numPr>
                <w:ilvl w:val="0"/>
                <w:numId w:val="30"/>
              </w:numPr>
              <w:spacing w:line="276" w:lineRule="auto"/>
              <w:jc w:val="both"/>
              <w:rPr>
                <w:rFonts w:ascii="Aptos" w:hAnsi="Aptos"/>
                <w:sz w:val="28"/>
                <w:szCs w:val="28"/>
              </w:rPr>
            </w:pPr>
            <w:r w:rsidRPr="002557CA">
              <w:rPr>
                <w:rFonts w:ascii="Aptos" w:hAnsi="Aptos"/>
                <w:sz w:val="28"/>
                <w:szCs w:val="28"/>
              </w:rPr>
              <w:t>¿Se evalúa el desempeño y riesgo de todos los cambios que impactan la capacidad del servicio?</w:t>
            </w:r>
          </w:p>
          <w:p w14:paraId="3FC6BE44" w14:textId="3286FC47" w:rsidR="002557CA" w:rsidRPr="002557CA" w:rsidRDefault="002557CA" w:rsidP="002557CA">
            <w:pPr>
              <w:pStyle w:val="Textoindependiente"/>
              <w:numPr>
                <w:ilvl w:val="0"/>
                <w:numId w:val="30"/>
              </w:numPr>
              <w:spacing w:line="276" w:lineRule="auto"/>
              <w:jc w:val="both"/>
              <w:rPr>
                <w:rFonts w:ascii="Aptos" w:hAnsi="Aptos"/>
                <w:sz w:val="28"/>
                <w:szCs w:val="28"/>
              </w:rPr>
            </w:pPr>
            <w:r w:rsidRPr="002557CA">
              <w:rPr>
                <w:rFonts w:ascii="Aptos" w:hAnsi="Aptos"/>
                <w:sz w:val="28"/>
                <w:szCs w:val="28"/>
              </w:rPr>
              <w:t>¿Se registran y mantienen registros precisos de cambios, configuraciones y lanzamientos e implementaciones?</w:t>
            </w:r>
          </w:p>
          <w:p w14:paraId="467E0D05" w14:textId="3096F620" w:rsidR="002557CA" w:rsidRPr="002557CA" w:rsidRDefault="002557CA" w:rsidP="002557CA">
            <w:pPr>
              <w:pStyle w:val="Textoindependiente"/>
              <w:numPr>
                <w:ilvl w:val="0"/>
                <w:numId w:val="30"/>
              </w:numPr>
              <w:spacing w:line="276" w:lineRule="auto"/>
              <w:jc w:val="both"/>
              <w:rPr>
                <w:rFonts w:ascii="Aptos" w:hAnsi="Aptos"/>
                <w:sz w:val="28"/>
                <w:szCs w:val="28"/>
              </w:rPr>
            </w:pPr>
            <w:r w:rsidRPr="002557CA">
              <w:rPr>
                <w:rFonts w:ascii="Aptos" w:hAnsi="Aptos"/>
                <w:sz w:val="28"/>
                <w:szCs w:val="28"/>
              </w:rPr>
              <w:t>¿Se realiza un análisis sistemático del impacto del cambio empresarial en TI?</w:t>
            </w:r>
          </w:p>
          <w:p w14:paraId="6CC65C3E" w14:textId="6586E682" w:rsidR="002557CA" w:rsidRPr="002557CA" w:rsidRDefault="002557CA" w:rsidP="002557CA">
            <w:pPr>
              <w:pStyle w:val="Textoindependiente"/>
              <w:numPr>
                <w:ilvl w:val="0"/>
                <w:numId w:val="30"/>
              </w:numPr>
              <w:spacing w:line="276" w:lineRule="auto"/>
              <w:jc w:val="both"/>
              <w:rPr>
                <w:rFonts w:ascii="Aptos" w:hAnsi="Aptos"/>
                <w:sz w:val="28"/>
                <w:szCs w:val="28"/>
              </w:rPr>
            </w:pPr>
            <w:r w:rsidRPr="002557CA">
              <w:rPr>
                <w:rFonts w:ascii="Aptos" w:hAnsi="Aptos"/>
                <w:sz w:val="28"/>
                <w:szCs w:val="28"/>
              </w:rPr>
              <w:t>¿Se analiza cuidadosamente el impacto de un servicio o cambio de TI en el negocio?</w:t>
            </w:r>
          </w:p>
          <w:p w14:paraId="10CDB827" w14:textId="57435D29" w:rsidR="002557CA" w:rsidRPr="002557CA" w:rsidRDefault="002557CA" w:rsidP="002557CA">
            <w:pPr>
              <w:pStyle w:val="Textoindependiente"/>
              <w:numPr>
                <w:ilvl w:val="0"/>
                <w:numId w:val="30"/>
              </w:numPr>
              <w:spacing w:line="276" w:lineRule="auto"/>
              <w:jc w:val="both"/>
              <w:rPr>
                <w:rFonts w:ascii="Aptos" w:hAnsi="Aptos"/>
                <w:sz w:val="28"/>
                <w:szCs w:val="28"/>
              </w:rPr>
            </w:pPr>
            <w:r w:rsidRPr="002557CA">
              <w:rPr>
                <w:rFonts w:ascii="Aptos" w:hAnsi="Aptos"/>
                <w:sz w:val="28"/>
                <w:szCs w:val="28"/>
              </w:rPr>
              <w:t>¿Se notifica de manera efectiva a los afectados sobre los cambios propuestos, planificados e implementados?</w:t>
            </w:r>
          </w:p>
          <w:p w14:paraId="09213AB0" w14:textId="4F77E4DE" w:rsidR="002557CA" w:rsidRPr="00A40309" w:rsidRDefault="002557CA" w:rsidP="002557CA">
            <w:pPr>
              <w:pStyle w:val="Textoindependiente"/>
              <w:numPr>
                <w:ilvl w:val="0"/>
                <w:numId w:val="30"/>
              </w:numPr>
              <w:spacing w:line="276" w:lineRule="auto"/>
              <w:jc w:val="both"/>
              <w:rPr>
                <w:rFonts w:ascii="Aptos" w:hAnsi="Aptos"/>
                <w:sz w:val="28"/>
                <w:szCs w:val="28"/>
              </w:rPr>
            </w:pPr>
            <w:r w:rsidRPr="002557CA">
              <w:rPr>
                <w:rFonts w:ascii="Aptos" w:hAnsi="Aptos"/>
                <w:sz w:val="28"/>
                <w:szCs w:val="28"/>
              </w:rPr>
              <w:t>¿Se identifican los problemas que requieren cambios continuos y se gestionan de manera adecuada para evitar interrupciones y garantizar la mejora continua?</w:t>
            </w:r>
          </w:p>
        </w:tc>
      </w:tr>
    </w:tbl>
    <w:p w14:paraId="7015965A" w14:textId="77777777" w:rsidR="002557CA" w:rsidRPr="007D390E" w:rsidRDefault="002557CA" w:rsidP="00771396">
      <w:pPr>
        <w:pStyle w:val="Textoindependiente"/>
        <w:spacing w:before="153" w:line="276" w:lineRule="auto"/>
        <w:ind w:left="0"/>
        <w:jc w:val="both"/>
        <w:rPr>
          <w:rFonts w:ascii="Aptos" w:hAnsi="Aptos"/>
        </w:rPr>
      </w:pPr>
    </w:p>
    <w:sectPr w:rsidR="002557CA" w:rsidRPr="007D390E" w:rsidSect="00653E06">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C92C77" w14:textId="77777777" w:rsidR="00653E06" w:rsidRDefault="00653E06">
      <w:r>
        <w:separator/>
      </w:r>
    </w:p>
  </w:endnote>
  <w:endnote w:type="continuationSeparator" w:id="0">
    <w:p w14:paraId="4F2EDF46" w14:textId="77777777" w:rsidR="00653E06" w:rsidRDefault="00653E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C54171" w14:textId="77777777" w:rsidR="00653E06" w:rsidRDefault="00653E06">
      <w:r>
        <w:separator/>
      </w:r>
    </w:p>
  </w:footnote>
  <w:footnote w:type="continuationSeparator" w:id="0">
    <w:p w14:paraId="25F85FBD" w14:textId="77777777" w:rsidR="00653E06" w:rsidRDefault="00653E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C8478B" w14:textId="4B5DCC43" w:rsidR="004709D5" w:rsidRDefault="000F595F" w:rsidP="004709D5">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D85275">
      <w:t>6</w:t>
    </w:r>
    <w:r w:rsidR="0025287F">
      <w:t xml:space="preserve"> - </w:t>
    </w:r>
    <w:r w:rsidR="004709D5" w:rsidRPr="004709D5">
      <w:t xml:space="preserve">Establecer la Política de Gestión </w:t>
    </w:r>
  </w:p>
  <w:p w14:paraId="1880EC2F" w14:textId="6BA43669" w:rsidR="0025287F" w:rsidRDefault="004709D5" w:rsidP="004709D5">
    <w:pPr>
      <w:pStyle w:val="Encabezado"/>
      <w:jc w:val="center"/>
    </w:pPr>
    <w:r w:rsidRPr="004709D5">
      <w:t>de Configuración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5FDCE6DC"/>
    <w:lvl w:ilvl="0" w:tplc="51F8F37C">
      <w:start w:val="1"/>
      <w:numFmt w:val="decimal"/>
      <w:lvlText w:val="%1."/>
      <w:lvlJc w:val="left"/>
      <w:pPr>
        <w:ind w:left="487"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214"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1481" w:hanging="312"/>
      </w:pPr>
      <w:rPr>
        <w:rFonts w:hint="default"/>
        <w:lang w:val="es-ES" w:eastAsia="en-US" w:bidi="ar-SA"/>
      </w:rPr>
    </w:lvl>
    <w:lvl w:ilvl="3" w:tplc="2EB67126">
      <w:numFmt w:val="bullet"/>
      <w:lvlText w:val="•"/>
      <w:lvlJc w:val="left"/>
      <w:pPr>
        <w:ind w:left="2481" w:hanging="312"/>
      </w:pPr>
      <w:rPr>
        <w:rFonts w:hint="default"/>
        <w:lang w:val="es-ES" w:eastAsia="en-US" w:bidi="ar-SA"/>
      </w:rPr>
    </w:lvl>
    <w:lvl w:ilvl="4" w:tplc="3252C3E4">
      <w:numFmt w:val="bullet"/>
      <w:lvlText w:val="•"/>
      <w:lvlJc w:val="left"/>
      <w:pPr>
        <w:ind w:left="3481" w:hanging="312"/>
      </w:pPr>
      <w:rPr>
        <w:rFonts w:hint="default"/>
        <w:lang w:val="es-ES" w:eastAsia="en-US" w:bidi="ar-SA"/>
      </w:rPr>
    </w:lvl>
    <w:lvl w:ilvl="5" w:tplc="B2F4E280">
      <w:numFmt w:val="bullet"/>
      <w:lvlText w:val="•"/>
      <w:lvlJc w:val="left"/>
      <w:pPr>
        <w:ind w:left="4481" w:hanging="312"/>
      </w:pPr>
      <w:rPr>
        <w:rFonts w:hint="default"/>
        <w:lang w:val="es-ES" w:eastAsia="en-US" w:bidi="ar-SA"/>
      </w:rPr>
    </w:lvl>
    <w:lvl w:ilvl="6" w:tplc="D92A9828">
      <w:numFmt w:val="bullet"/>
      <w:lvlText w:val="•"/>
      <w:lvlJc w:val="left"/>
      <w:pPr>
        <w:ind w:left="5481" w:hanging="312"/>
      </w:pPr>
      <w:rPr>
        <w:rFonts w:hint="default"/>
        <w:lang w:val="es-ES" w:eastAsia="en-US" w:bidi="ar-SA"/>
      </w:rPr>
    </w:lvl>
    <w:lvl w:ilvl="7" w:tplc="E146EF9E">
      <w:numFmt w:val="bullet"/>
      <w:lvlText w:val="•"/>
      <w:lvlJc w:val="left"/>
      <w:pPr>
        <w:ind w:left="6481" w:hanging="312"/>
      </w:pPr>
      <w:rPr>
        <w:rFonts w:hint="default"/>
        <w:lang w:val="es-ES" w:eastAsia="en-US" w:bidi="ar-SA"/>
      </w:rPr>
    </w:lvl>
    <w:lvl w:ilvl="8" w:tplc="0E402FF6">
      <w:numFmt w:val="bullet"/>
      <w:lvlText w:val="•"/>
      <w:lvlJc w:val="left"/>
      <w:pPr>
        <w:ind w:left="7481"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61044F9"/>
    <w:multiLevelType w:val="hybridMultilevel"/>
    <w:tmpl w:val="360841B0"/>
    <w:lvl w:ilvl="0" w:tplc="FFFFFFFF">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575AD2"/>
    <w:multiLevelType w:val="hybridMultilevel"/>
    <w:tmpl w:val="CB588AF0"/>
    <w:lvl w:ilvl="0" w:tplc="B962788A">
      <w:start w:val="1"/>
      <w:numFmt w:val="decimal"/>
      <w:lvlText w:val="%1."/>
      <w:lvlJc w:val="left"/>
      <w:pPr>
        <w:ind w:left="108" w:hanging="205"/>
      </w:pPr>
      <w:rPr>
        <w:rFonts w:ascii="Tahoma" w:eastAsia="Tahoma" w:hAnsi="Tahoma" w:cs="Tahoma" w:hint="default"/>
        <w:w w:val="81"/>
        <w:sz w:val="21"/>
        <w:szCs w:val="21"/>
        <w:lang w:val="es-ES" w:eastAsia="en-US" w:bidi="ar-SA"/>
      </w:rPr>
    </w:lvl>
    <w:lvl w:ilvl="1" w:tplc="E49A847A">
      <w:numFmt w:val="bullet"/>
      <w:lvlText w:val="•"/>
      <w:lvlJc w:val="left"/>
      <w:pPr>
        <w:ind w:left="621" w:hanging="205"/>
      </w:pPr>
      <w:rPr>
        <w:rFonts w:hint="default"/>
        <w:lang w:val="es-ES" w:eastAsia="en-US" w:bidi="ar-SA"/>
      </w:rPr>
    </w:lvl>
    <w:lvl w:ilvl="2" w:tplc="DAEAEB40">
      <w:numFmt w:val="bullet"/>
      <w:lvlText w:val="•"/>
      <w:lvlJc w:val="left"/>
      <w:pPr>
        <w:ind w:left="1142" w:hanging="205"/>
      </w:pPr>
      <w:rPr>
        <w:rFonts w:hint="default"/>
        <w:lang w:val="es-ES" w:eastAsia="en-US" w:bidi="ar-SA"/>
      </w:rPr>
    </w:lvl>
    <w:lvl w:ilvl="3" w:tplc="81563286">
      <w:numFmt w:val="bullet"/>
      <w:lvlText w:val="•"/>
      <w:lvlJc w:val="left"/>
      <w:pPr>
        <w:ind w:left="1663" w:hanging="205"/>
      </w:pPr>
      <w:rPr>
        <w:rFonts w:hint="default"/>
        <w:lang w:val="es-ES" w:eastAsia="en-US" w:bidi="ar-SA"/>
      </w:rPr>
    </w:lvl>
    <w:lvl w:ilvl="4" w:tplc="B8761CBE">
      <w:numFmt w:val="bullet"/>
      <w:lvlText w:val="•"/>
      <w:lvlJc w:val="left"/>
      <w:pPr>
        <w:ind w:left="2184" w:hanging="205"/>
      </w:pPr>
      <w:rPr>
        <w:rFonts w:hint="default"/>
        <w:lang w:val="es-ES" w:eastAsia="en-US" w:bidi="ar-SA"/>
      </w:rPr>
    </w:lvl>
    <w:lvl w:ilvl="5" w:tplc="F10E470A">
      <w:numFmt w:val="bullet"/>
      <w:lvlText w:val="•"/>
      <w:lvlJc w:val="left"/>
      <w:pPr>
        <w:ind w:left="2705" w:hanging="205"/>
      </w:pPr>
      <w:rPr>
        <w:rFonts w:hint="default"/>
        <w:lang w:val="es-ES" w:eastAsia="en-US" w:bidi="ar-SA"/>
      </w:rPr>
    </w:lvl>
    <w:lvl w:ilvl="6" w:tplc="DDF6AF2A">
      <w:numFmt w:val="bullet"/>
      <w:lvlText w:val="•"/>
      <w:lvlJc w:val="left"/>
      <w:pPr>
        <w:ind w:left="3226" w:hanging="205"/>
      </w:pPr>
      <w:rPr>
        <w:rFonts w:hint="default"/>
        <w:lang w:val="es-ES" w:eastAsia="en-US" w:bidi="ar-SA"/>
      </w:rPr>
    </w:lvl>
    <w:lvl w:ilvl="7" w:tplc="5D469E1C">
      <w:numFmt w:val="bullet"/>
      <w:lvlText w:val="•"/>
      <w:lvlJc w:val="left"/>
      <w:pPr>
        <w:ind w:left="3747" w:hanging="205"/>
      </w:pPr>
      <w:rPr>
        <w:rFonts w:hint="default"/>
        <w:lang w:val="es-ES" w:eastAsia="en-US" w:bidi="ar-SA"/>
      </w:rPr>
    </w:lvl>
    <w:lvl w:ilvl="8" w:tplc="25F81918">
      <w:numFmt w:val="bullet"/>
      <w:lvlText w:val="•"/>
      <w:lvlJc w:val="left"/>
      <w:pPr>
        <w:ind w:left="4268" w:hanging="205"/>
      </w:pPr>
      <w:rPr>
        <w:rFonts w:hint="default"/>
        <w:lang w:val="es-ES" w:eastAsia="en-US" w:bidi="ar-SA"/>
      </w:rPr>
    </w:lvl>
  </w:abstractNum>
  <w:abstractNum w:abstractNumId="4" w15:restartNumberingAfterBreak="0">
    <w:nsid w:val="07A1670F"/>
    <w:multiLevelType w:val="multilevel"/>
    <w:tmpl w:val="13AABD68"/>
    <w:lvl w:ilvl="0">
      <w:start w:val="2"/>
      <w:numFmt w:val="decimal"/>
      <w:lvlText w:val="%1"/>
      <w:lvlJc w:val="left"/>
      <w:pPr>
        <w:ind w:left="108" w:hanging="376"/>
      </w:pPr>
      <w:rPr>
        <w:rFonts w:hint="default"/>
        <w:lang w:val="es-ES" w:eastAsia="en-US" w:bidi="ar-SA"/>
      </w:rPr>
    </w:lvl>
    <w:lvl w:ilvl="1">
      <w:start w:val="1"/>
      <w:numFmt w:val="decimal"/>
      <w:lvlText w:val="%1.%2."/>
      <w:lvlJc w:val="left"/>
      <w:pPr>
        <w:ind w:left="108" w:hanging="376"/>
      </w:pPr>
      <w:rPr>
        <w:rFonts w:ascii="Tahoma" w:eastAsia="Tahoma" w:hAnsi="Tahoma" w:cs="Tahoma" w:hint="default"/>
        <w:spacing w:val="-19"/>
        <w:w w:val="81"/>
        <w:sz w:val="21"/>
        <w:szCs w:val="21"/>
        <w:lang w:val="es-ES" w:eastAsia="en-US" w:bidi="ar-SA"/>
      </w:rPr>
    </w:lvl>
    <w:lvl w:ilvl="2">
      <w:numFmt w:val="bullet"/>
      <w:lvlText w:val="•"/>
      <w:lvlJc w:val="left"/>
      <w:pPr>
        <w:ind w:left="1142" w:hanging="376"/>
      </w:pPr>
      <w:rPr>
        <w:rFonts w:hint="default"/>
        <w:lang w:val="es-ES" w:eastAsia="en-US" w:bidi="ar-SA"/>
      </w:rPr>
    </w:lvl>
    <w:lvl w:ilvl="3">
      <w:numFmt w:val="bullet"/>
      <w:lvlText w:val="•"/>
      <w:lvlJc w:val="left"/>
      <w:pPr>
        <w:ind w:left="1663" w:hanging="376"/>
      </w:pPr>
      <w:rPr>
        <w:rFonts w:hint="default"/>
        <w:lang w:val="es-ES" w:eastAsia="en-US" w:bidi="ar-SA"/>
      </w:rPr>
    </w:lvl>
    <w:lvl w:ilvl="4">
      <w:numFmt w:val="bullet"/>
      <w:lvlText w:val="•"/>
      <w:lvlJc w:val="left"/>
      <w:pPr>
        <w:ind w:left="2184" w:hanging="376"/>
      </w:pPr>
      <w:rPr>
        <w:rFonts w:hint="default"/>
        <w:lang w:val="es-ES" w:eastAsia="en-US" w:bidi="ar-SA"/>
      </w:rPr>
    </w:lvl>
    <w:lvl w:ilvl="5">
      <w:numFmt w:val="bullet"/>
      <w:lvlText w:val="•"/>
      <w:lvlJc w:val="left"/>
      <w:pPr>
        <w:ind w:left="2705" w:hanging="376"/>
      </w:pPr>
      <w:rPr>
        <w:rFonts w:hint="default"/>
        <w:lang w:val="es-ES" w:eastAsia="en-US" w:bidi="ar-SA"/>
      </w:rPr>
    </w:lvl>
    <w:lvl w:ilvl="6">
      <w:numFmt w:val="bullet"/>
      <w:lvlText w:val="•"/>
      <w:lvlJc w:val="left"/>
      <w:pPr>
        <w:ind w:left="3226" w:hanging="376"/>
      </w:pPr>
      <w:rPr>
        <w:rFonts w:hint="default"/>
        <w:lang w:val="es-ES" w:eastAsia="en-US" w:bidi="ar-SA"/>
      </w:rPr>
    </w:lvl>
    <w:lvl w:ilvl="7">
      <w:numFmt w:val="bullet"/>
      <w:lvlText w:val="•"/>
      <w:lvlJc w:val="left"/>
      <w:pPr>
        <w:ind w:left="3747" w:hanging="376"/>
      </w:pPr>
      <w:rPr>
        <w:rFonts w:hint="default"/>
        <w:lang w:val="es-ES" w:eastAsia="en-US" w:bidi="ar-SA"/>
      </w:rPr>
    </w:lvl>
    <w:lvl w:ilvl="8">
      <w:numFmt w:val="bullet"/>
      <w:lvlText w:val="•"/>
      <w:lvlJc w:val="left"/>
      <w:pPr>
        <w:ind w:left="4268" w:hanging="376"/>
      </w:pPr>
      <w:rPr>
        <w:rFonts w:hint="default"/>
        <w:lang w:val="es-ES" w:eastAsia="en-US" w:bidi="ar-SA"/>
      </w:rPr>
    </w:lvl>
  </w:abstractNum>
  <w:abstractNum w:abstractNumId="5" w15:restartNumberingAfterBreak="0">
    <w:nsid w:val="087929FA"/>
    <w:multiLevelType w:val="hybridMultilevel"/>
    <w:tmpl w:val="206AF00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CAE1380"/>
    <w:multiLevelType w:val="multilevel"/>
    <w:tmpl w:val="340A001F"/>
    <w:lvl w:ilvl="0">
      <w:start w:val="1"/>
      <w:numFmt w:val="decimal"/>
      <w:lvlText w:val="%1."/>
      <w:lvlJc w:val="left"/>
      <w:pPr>
        <w:ind w:left="360" w:hanging="360"/>
      </w:pPr>
    </w:lvl>
    <w:lvl w:ilvl="1">
      <w:start w:val="1"/>
      <w:numFmt w:val="decimal"/>
      <w:lvlText w:val="%1.%2."/>
      <w:lvlJc w:val="left"/>
      <w:pPr>
        <w:ind w:left="596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0096E97"/>
    <w:multiLevelType w:val="hybridMultilevel"/>
    <w:tmpl w:val="4BB24E90"/>
    <w:lvl w:ilvl="0" w:tplc="81729796">
      <w:start w:val="1"/>
      <w:numFmt w:val="decimal"/>
      <w:lvlText w:val="%1."/>
      <w:lvlJc w:val="left"/>
      <w:pPr>
        <w:ind w:left="347" w:hanging="205"/>
      </w:pPr>
      <w:rPr>
        <w:rFonts w:ascii="Aptos" w:eastAsia="Tahoma" w:hAnsi="Aptos" w:cs="Tahoma" w:hint="default"/>
        <w:w w:val="81"/>
        <w:sz w:val="20"/>
        <w:szCs w:val="20"/>
        <w:lang w:val="es-ES" w:eastAsia="en-US" w:bidi="ar-SA"/>
      </w:rPr>
    </w:lvl>
    <w:lvl w:ilvl="1" w:tplc="B7305458">
      <w:numFmt w:val="bullet"/>
      <w:lvlText w:val="•"/>
      <w:lvlJc w:val="left"/>
      <w:pPr>
        <w:ind w:left="1002" w:hanging="205"/>
      </w:pPr>
      <w:rPr>
        <w:rFonts w:hint="default"/>
        <w:lang w:val="es-ES" w:eastAsia="en-US" w:bidi="ar-SA"/>
      </w:rPr>
    </w:lvl>
    <w:lvl w:ilvl="2" w:tplc="163A0574">
      <w:numFmt w:val="bullet"/>
      <w:lvlText w:val="•"/>
      <w:lvlJc w:val="left"/>
      <w:pPr>
        <w:ind w:left="1523" w:hanging="205"/>
      </w:pPr>
      <w:rPr>
        <w:rFonts w:hint="default"/>
        <w:lang w:val="es-ES" w:eastAsia="en-US" w:bidi="ar-SA"/>
      </w:rPr>
    </w:lvl>
    <w:lvl w:ilvl="3" w:tplc="6DEEB872">
      <w:numFmt w:val="bullet"/>
      <w:lvlText w:val="•"/>
      <w:lvlJc w:val="left"/>
      <w:pPr>
        <w:ind w:left="2044" w:hanging="205"/>
      </w:pPr>
      <w:rPr>
        <w:rFonts w:hint="default"/>
        <w:lang w:val="es-ES" w:eastAsia="en-US" w:bidi="ar-SA"/>
      </w:rPr>
    </w:lvl>
    <w:lvl w:ilvl="4" w:tplc="64CE94DE">
      <w:numFmt w:val="bullet"/>
      <w:lvlText w:val="•"/>
      <w:lvlJc w:val="left"/>
      <w:pPr>
        <w:ind w:left="2565" w:hanging="205"/>
      </w:pPr>
      <w:rPr>
        <w:rFonts w:hint="default"/>
        <w:lang w:val="es-ES" w:eastAsia="en-US" w:bidi="ar-SA"/>
      </w:rPr>
    </w:lvl>
    <w:lvl w:ilvl="5" w:tplc="93A6D806">
      <w:numFmt w:val="bullet"/>
      <w:lvlText w:val="•"/>
      <w:lvlJc w:val="left"/>
      <w:pPr>
        <w:ind w:left="3086" w:hanging="205"/>
      </w:pPr>
      <w:rPr>
        <w:rFonts w:hint="default"/>
        <w:lang w:val="es-ES" w:eastAsia="en-US" w:bidi="ar-SA"/>
      </w:rPr>
    </w:lvl>
    <w:lvl w:ilvl="6" w:tplc="0BD2DBBA">
      <w:numFmt w:val="bullet"/>
      <w:lvlText w:val="•"/>
      <w:lvlJc w:val="left"/>
      <w:pPr>
        <w:ind w:left="3607" w:hanging="205"/>
      </w:pPr>
      <w:rPr>
        <w:rFonts w:hint="default"/>
        <w:lang w:val="es-ES" w:eastAsia="en-US" w:bidi="ar-SA"/>
      </w:rPr>
    </w:lvl>
    <w:lvl w:ilvl="7" w:tplc="03EE24F6">
      <w:numFmt w:val="bullet"/>
      <w:lvlText w:val="•"/>
      <w:lvlJc w:val="left"/>
      <w:pPr>
        <w:ind w:left="4128" w:hanging="205"/>
      </w:pPr>
      <w:rPr>
        <w:rFonts w:hint="default"/>
        <w:lang w:val="es-ES" w:eastAsia="en-US" w:bidi="ar-SA"/>
      </w:rPr>
    </w:lvl>
    <w:lvl w:ilvl="8" w:tplc="3374726E">
      <w:numFmt w:val="bullet"/>
      <w:lvlText w:val="•"/>
      <w:lvlJc w:val="left"/>
      <w:pPr>
        <w:ind w:left="4649" w:hanging="205"/>
      </w:pPr>
      <w:rPr>
        <w:rFonts w:hint="default"/>
        <w:lang w:val="es-ES" w:eastAsia="en-US" w:bidi="ar-SA"/>
      </w:rPr>
    </w:lvl>
  </w:abstractNum>
  <w:abstractNum w:abstractNumId="8" w15:restartNumberingAfterBreak="0">
    <w:nsid w:val="158424B1"/>
    <w:multiLevelType w:val="hybridMultilevel"/>
    <w:tmpl w:val="B97EC428"/>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23D97436"/>
    <w:multiLevelType w:val="hybridMultilevel"/>
    <w:tmpl w:val="5F98A060"/>
    <w:lvl w:ilvl="0" w:tplc="EC7E3926">
      <w:start w:val="1"/>
      <w:numFmt w:val="decimal"/>
      <w:lvlText w:val="%1."/>
      <w:lvlJc w:val="left"/>
      <w:pPr>
        <w:ind w:left="531" w:hanging="312"/>
      </w:pPr>
      <w:rPr>
        <w:rFonts w:ascii="Aptos" w:eastAsia="Liberation Sans" w:hAnsi="Aptos" w:cs="Liberation Sans" w:hint="default"/>
        <w:spacing w:val="-14"/>
        <w:w w:val="100"/>
        <w:sz w:val="22"/>
        <w:szCs w:val="22"/>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2" w15:restartNumberingAfterBreak="0">
    <w:nsid w:val="320056FC"/>
    <w:multiLevelType w:val="hybridMultilevel"/>
    <w:tmpl w:val="87C4D306"/>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FFFFFFFF" w:tentative="1">
      <w:start w:val="1"/>
      <w:numFmt w:val="bullet"/>
      <w:lvlText w:val=""/>
      <w:lvlJc w:val="left"/>
      <w:pPr>
        <w:ind w:left="2260" w:hanging="360"/>
      </w:pPr>
      <w:rPr>
        <w:rFonts w:ascii="Wingdings" w:hAnsi="Wingding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13" w15:restartNumberingAfterBreak="0">
    <w:nsid w:val="375C0544"/>
    <w:multiLevelType w:val="hybridMultilevel"/>
    <w:tmpl w:val="206AF00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A48145B"/>
    <w:multiLevelType w:val="hybridMultilevel"/>
    <w:tmpl w:val="54DAAC04"/>
    <w:lvl w:ilvl="0" w:tplc="340A0003">
      <w:start w:val="1"/>
      <w:numFmt w:val="bullet"/>
      <w:lvlText w:val="o"/>
      <w:lvlJc w:val="left"/>
      <w:pPr>
        <w:ind w:left="820" w:hanging="360"/>
      </w:pPr>
      <w:rPr>
        <w:rFonts w:ascii="Courier New" w:hAnsi="Courier New" w:cs="Courier New"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5" w15:restartNumberingAfterBreak="0">
    <w:nsid w:val="3B351551"/>
    <w:multiLevelType w:val="hybridMultilevel"/>
    <w:tmpl w:val="DE061970"/>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3706"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8" w15:restartNumberingAfterBreak="0">
    <w:nsid w:val="431A0711"/>
    <w:multiLevelType w:val="hybridMultilevel"/>
    <w:tmpl w:val="A8B4A364"/>
    <w:lvl w:ilvl="0" w:tplc="B754B22E">
      <w:start w:val="1"/>
      <w:numFmt w:val="decimal"/>
      <w:lvlText w:val="%1."/>
      <w:lvlJc w:val="left"/>
      <w:pPr>
        <w:ind w:left="108" w:hanging="205"/>
      </w:pPr>
      <w:rPr>
        <w:rFonts w:ascii="Tahoma" w:eastAsia="Tahoma" w:hAnsi="Tahoma" w:cs="Tahoma" w:hint="default"/>
        <w:w w:val="81"/>
        <w:sz w:val="21"/>
        <w:szCs w:val="21"/>
        <w:lang w:val="es-ES" w:eastAsia="en-US" w:bidi="ar-SA"/>
      </w:rPr>
    </w:lvl>
    <w:lvl w:ilvl="1" w:tplc="2034EC3A">
      <w:numFmt w:val="bullet"/>
      <w:lvlText w:val="•"/>
      <w:lvlJc w:val="left"/>
      <w:pPr>
        <w:ind w:left="621" w:hanging="205"/>
      </w:pPr>
      <w:rPr>
        <w:rFonts w:hint="default"/>
        <w:lang w:val="es-ES" w:eastAsia="en-US" w:bidi="ar-SA"/>
      </w:rPr>
    </w:lvl>
    <w:lvl w:ilvl="2" w:tplc="314226E0">
      <w:numFmt w:val="bullet"/>
      <w:lvlText w:val="•"/>
      <w:lvlJc w:val="left"/>
      <w:pPr>
        <w:ind w:left="1142" w:hanging="205"/>
      </w:pPr>
      <w:rPr>
        <w:rFonts w:hint="default"/>
        <w:lang w:val="es-ES" w:eastAsia="en-US" w:bidi="ar-SA"/>
      </w:rPr>
    </w:lvl>
    <w:lvl w:ilvl="3" w:tplc="D8AA7E0E">
      <w:numFmt w:val="bullet"/>
      <w:lvlText w:val="•"/>
      <w:lvlJc w:val="left"/>
      <w:pPr>
        <w:ind w:left="1663" w:hanging="205"/>
      </w:pPr>
      <w:rPr>
        <w:rFonts w:hint="default"/>
        <w:lang w:val="es-ES" w:eastAsia="en-US" w:bidi="ar-SA"/>
      </w:rPr>
    </w:lvl>
    <w:lvl w:ilvl="4" w:tplc="743EE368">
      <w:numFmt w:val="bullet"/>
      <w:lvlText w:val="•"/>
      <w:lvlJc w:val="left"/>
      <w:pPr>
        <w:ind w:left="2184" w:hanging="205"/>
      </w:pPr>
      <w:rPr>
        <w:rFonts w:hint="default"/>
        <w:lang w:val="es-ES" w:eastAsia="en-US" w:bidi="ar-SA"/>
      </w:rPr>
    </w:lvl>
    <w:lvl w:ilvl="5" w:tplc="CA52228A">
      <w:numFmt w:val="bullet"/>
      <w:lvlText w:val="•"/>
      <w:lvlJc w:val="left"/>
      <w:pPr>
        <w:ind w:left="2705" w:hanging="205"/>
      </w:pPr>
      <w:rPr>
        <w:rFonts w:hint="default"/>
        <w:lang w:val="es-ES" w:eastAsia="en-US" w:bidi="ar-SA"/>
      </w:rPr>
    </w:lvl>
    <w:lvl w:ilvl="6" w:tplc="7BEA2538">
      <w:numFmt w:val="bullet"/>
      <w:lvlText w:val="•"/>
      <w:lvlJc w:val="left"/>
      <w:pPr>
        <w:ind w:left="3226" w:hanging="205"/>
      </w:pPr>
      <w:rPr>
        <w:rFonts w:hint="default"/>
        <w:lang w:val="es-ES" w:eastAsia="en-US" w:bidi="ar-SA"/>
      </w:rPr>
    </w:lvl>
    <w:lvl w:ilvl="7" w:tplc="2D964A44">
      <w:numFmt w:val="bullet"/>
      <w:lvlText w:val="•"/>
      <w:lvlJc w:val="left"/>
      <w:pPr>
        <w:ind w:left="3747" w:hanging="205"/>
      </w:pPr>
      <w:rPr>
        <w:rFonts w:hint="default"/>
        <w:lang w:val="es-ES" w:eastAsia="en-US" w:bidi="ar-SA"/>
      </w:rPr>
    </w:lvl>
    <w:lvl w:ilvl="8" w:tplc="906A9F48">
      <w:numFmt w:val="bullet"/>
      <w:lvlText w:val="•"/>
      <w:lvlJc w:val="left"/>
      <w:pPr>
        <w:ind w:left="4268" w:hanging="205"/>
      </w:pPr>
      <w:rPr>
        <w:rFonts w:hint="default"/>
        <w:lang w:val="es-ES" w:eastAsia="en-US" w:bidi="ar-SA"/>
      </w:rPr>
    </w:lvl>
  </w:abstractNum>
  <w:abstractNum w:abstractNumId="19"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0"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15:restartNumberingAfterBreak="0">
    <w:nsid w:val="4C662A43"/>
    <w:multiLevelType w:val="hybridMultilevel"/>
    <w:tmpl w:val="ED98A47C"/>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15:restartNumberingAfterBreak="0">
    <w:nsid w:val="4CAA6559"/>
    <w:multiLevelType w:val="multilevel"/>
    <w:tmpl w:val="B85E6766"/>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444"/>
      </w:pPr>
      <w:rPr>
        <w:rFonts w:hint="default"/>
        <w:b/>
        <w:bCs/>
        <w:spacing w:val="-30"/>
        <w:w w:val="66"/>
        <w:lang w:val="es-ES" w:eastAsia="en-US" w:bidi="ar-SA"/>
      </w:rPr>
    </w:lvl>
    <w:lvl w:ilvl="2">
      <w:numFmt w:val="bullet"/>
      <w:lvlText w:val="•"/>
      <w:lvlJc w:val="left"/>
      <w:pPr>
        <w:ind w:left="1510" w:hanging="444"/>
      </w:pPr>
      <w:rPr>
        <w:rFonts w:hint="default"/>
        <w:lang w:val="es-ES" w:eastAsia="en-US" w:bidi="ar-SA"/>
      </w:rPr>
    </w:lvl>
    <w:lvl w:ilvl="3">
      <w:numFmt w:val="bullet"/>
      <w:lvlText w:val="•"/>
      <w:lvlJc w:val="left"/>
      <w:pPr>
        <w:ind w:left="2481" w:hanging="444"/>
      </w:pPr>
      <w:rPr>
        <w:rFonts w:hint="default"/>
        <w:lang w:val="es-ES" w:eastAsia="en-US" w:bidi="ar-SA"/>
      </w:rPr>
    </w:lvl>
    <w:lvl w:ilvl="4">
      <w:numFmt w:val="bullet"/>
      <w:lvlText w:val="•"/>
      <w:lvlJc w:val="left"/>
      <w:pPr>
        <w:ind w:left="3452" w:hanging="444"/>
      </w:pPr>
      <w:rPr>
        <w:rFonts w:hint="default"/>
        <w:lang w:val="es-ES" w:eastAsia="en-US" w:bidi="ar-SA"/>
      </w:rPr>
    </w:lvl>
    <w:lvl w:ilvl="5">
      <w:numFmt w:val="bullet"/>
      <w:lvlText w:val="•"/>
      <w:lvlJc w:val="left"/>
      <w:pPr>
        <w:ind w:left="4423" w:hanging="444"/>
      </w:pPr>
      <w:rPr>
        <w:rFonts w:hint="default"/>
        <w:lang w:val="es-ES" w:eastAsia="en-US" w:bidi="ar-SA"/>
      </w:rPr>
    </w:lvl>
    <w:lvl w:ilvl="6">
      <w:numFmt w:val="bullet"/>
      <w:lvlText w:val="•"/>
      <w:lvlJc w:val="left"/>
      <w:pPr>
        <w:ind w:left="5394" w:hanging="444"/>
      </w:pPr>
      <w:rPr>
        <w:rFonts w:hint="default"/>
        <w:lang w:val="es-ES" w:eastAsia="en-US" w:bidi="ar-SA"/>
      </w:rPr>
    </w:lvl>
    <w:lvl w:ilvl="7">
      <w:numFmt w:val="bullet"/>
      <w:lvlText w:val="•"/>
      <w:lvlJc w:val="left"/>
      <w:pPr>
        <w:ind w:left="6365" w:hanging="444"/>
      </w:pPr>
      <w:rPr>
        <w:rFonts w:hint="default"/>
        <w:lang w:val="es-ES" w:eastAsia="en-US" w:bidi="ar-SA"/>
      </w:rPr>
    </w:lvl>
    <w:lvl w:ilvl="8">
      <w:numFmt w:val="bullet"/>
      <w:lvlText w:val="•"/>
      <w:lvlJc w:val="left"/>
      <w:pPr>
        <w:ind w:left="7336" w:hanging="444"/>
      </w:pPr>
      <w:rPr>
        <w:rFonts w:hint="default"/>
        <w:lang w:val="es-ES" w:eastAsia="en-US" w:bidi="ar-SA"/>
      </w:rPr>
    </w:lvl>
  </w:abstractNum>
  <w:abstractNum w:abstractNumId="23" w15:restartNumberingAfterBreak="0">
    <w:nsid w:val="50231482"/>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4" w15:restartNumberingAfterBreak="0">
    <w:nsid w:val="520311DF"/>
    <w:multiLevelType w:val="hybridMultilevel"/>
    <w:tmpl w:val="7F904800"/>
    <w:lvl w:ilvl="0" w:tplc="8340C334">
      <w:start w:val="1"/>
      <w:numFmt w:val="decimal"/>
      <w:lvlText w:val="%1."/>
      <w:lvlJc w:val="left"/>
      <w:pPr>
        <w:ind w:left="108" w:hanging="205"/>
      </w:pPr>
      <w:rPr>
        <w:rFonts w:ascii="Tahoma" w:eastAsia="Tahoma" w:hAnsi="Tahoma" w:cs="Tahoma" w:hint="default"/>
        <w:w w:val="81"/>
        <w:sz w:val="21"/>
        <w:szCs w:val="21"/>
        <w:lang w:val="es-ES" w:eastAsia="en-US" w:bidi="ar-SA"/>
      </w:rPr>
    </w:lvl>
    <w:lvl w:ilvl="1" w:tplc="1AD600CE">
      <w:numFmt w:val="bullet"/>
      <w:lvlText w:val="•"/>
      <w:lvlJc w:val="left"/>
      <w:pPr>
        <w:ind w:left="621" w:hanging="205"/>
      </w:pPr>
      <w:rPr>
        <w:rFonts w:hint="default"/>
        <w:lang w:val="es-ES" w:eastAsia="en-US" w:bidi="ar-SA"/>
      </w:rPr>
    </w:lvl>
    <w:lvl w:ilvl="2" w:tplc="46D85AC4">
      <w:numFmt w:val="bullet"/>
      <w:lvlText w:val="•"/>
      <w:lvlJc w:val="left"/>
      <w:pPr>
        <w:ind w:left="1142" w:hanging="205"/>
      </w:pPr>
      <w:rPr>
        <w:rFonts w:hint="default"/>
        <w:lang w:val="es-ES" w:eastAsia="en-US" w:bidi="ar-SA"/>
      </w:rPr>
    </w:lvl>
    <w:lvl w:ilvl="3" w:tplc="91C6D0D2">
      <w:numFmt w:val="bullet"/>
      <w:lvlText w:val="•"/>
      <w:lvlJc w:val="left"/>
      <w:pPr>
        <w:ind w:left="1663" w:hanging="205"/>
      </w:pPr>
      <w:rPr>
        <w:rFonts w:hint="default"/>
        <w:lang w:val="es-ES" w:eastAsia="en-US" w:bidi="ar-SA"/>
      </w:rPr>
    </w:lvl>
    <w:lvl w:ilvl="4" w:tplc="C074C7E4">
      <w:numFmt w:val="bullet"/>
      <w:lvlText w:val="•"/>
      <w:lvlJc w:val="left"/>
      <w:pPr>
        <w:ind w:left="2184" w:hanging="205"/>
      </w:pPr>
      <w:rPr>
        <w:rFonts w:hint="default"/>
        <w:lang w:val="es-ES" w:eastAsia="en-US" w:bidi="ar-SA"/>
      </w:rPr>
    </w:lvl>
    <w:lvl w:ilvl="5" w:tplc="0A62A776">
      <w:numFmt w:val="bullet"/>
      <w:lvlText w:val="•"/>
      <w:lvlJc w:val="left"/>
      <w:pPr>
        <w:ind w:left="2705" w:hanging="205"/>
      </w:pPr>
      <w:rPr>
        <w:rFonts w:hint="default"/>
        <w:lang w:val="es-ES" w:eastAsia="en-US" w:bidi="ar-SA"/>
      </w:rPr>
    </w:lvl>
    <w:lvl w:ilvl="6" w:tplc="D25455D6">
      <w:numFmt w:val="bullet"/>
      <w:lvlText w:val="•"/>
      <w:lvlJc w:val="left"/>
      <w:pPr>
        <w:ind w:left="3226" w:hanging="205"/>
      </w:pPr>
      <w:rPr>
        <w:rFonts w:hint="default"/>
        <w:lang w:val="es-ES" w:eastAsia="en-US" w:bidi="ar-SA"/>
      </w:rPr>
    </w:lvl>
    <w:lvl w:ilvl="7" w:tplc="55D64D06">
      <w:numFmt w:val="bullet"/>
      <w:lvlText w:val="•"/>
      <w:lvlJc w:val="left"/>
      <w:pPr>
        <w:ind w:left="3747" w:hanging="205"/>
      </w:pPr>
      <w:rPr>
        <w:rFonts w:hint="default"/>
        <w:lang w:val="es-ES" w:eastAsia="en-US" w:bidi="ar-SA"/>
      </w:rPr>
    </w:lvl>
    <w:lvl w:ilvl="8" w:tplc="3EDAB194">
      <w:numFmt w:val="bullet"/>
      <w:lvlText w:val="•"/>
      <w:lvlJc w:val="left"/>
      <w:pPr>
        <w:ind w:left="4268" w:hanging="205"/>
      </w:pPr>
      <w:rPr>
        <w:rFonts w:hint="default"/>
        <w:lang w:val="es-ES" w:eastAsia="en-US" w:bidi="ar-SA"/>
      </w:rPr>
    </w:lvl>
  </w:abstractNum>
  <w:abstractNum w:abstractNumId="25" w15:restartNumberingAfterBreak="0">
    <w:nsid w:val="560B2E80"/>
    <w:multiLevelType w:val="hybridMultilevel"/>
    <w:tmpl w:val="206AF004"/>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6"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7"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8" w15:restartNumberingAfterBreak="0">
    <w:nsid w:val="60CB0C63"/>
    <w:multiLevelType w:val="multilevel"/>
    <w:tmpl w:val="D11E1E54"/>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541"/>
      </w:pPr>
      <w:rPr>
        <w:rFonts w:ascii="Tahoma" w:eastAsia="Tahoma" w:hAnsi="Tahoma" w:cs="Tahoma" w:hint="default"/>
        <w:b/>
        <w:bCs/>
        <w:spacing w:val="-37"/>
        <w:w w:val="67"/>
        <w:sz w:val="36"/>
        <w:szCs w:val="36"/>
        <w:lang w:val="es-ES" w:eastAsia="en-US" w:bidi="ar-SA"/>
      </w:rPr>
    </w:lvl>
    <w:lvl w:ilvl="2">
      <w:numFmt w:val="bullet"/>
      <w:lvlText w:val="•"/>
      <w:lvlJc w:val="left"/>
      <w:pPr>
        <w:ind w:left="1510" w:hanging="541"/>
      </w:pPr>
      <w:rPr>
        <w:rFonts w:hint="default"/>
        <w:lang w:val="es-ES" w:eastAsia="en-US" w:bidi="ar-SA"/>
      </w:rPr>
    </w:lvl>
    <w:lvl w:ilvl="3">
      <w:numFmt w:val="bullet"/>
      <w:lvlText w:val="•"/>
      <w:lvlJc w:val="left"/>
      <w:pPr>
        <w:ind w:left="2481" w:hanging="541"/>
      </w:pPr>
      <w:rPr>
        <w:rFonts w:hint="default"/>
        <w:lang w:val="es-ES" w:eastAsia="en-US" w:bidi="ar-SA"/>
      </w:rPr>
    </w:lvl>
    <w:lvl w:ilvl="4">
      <w:numFmt w:val="bullet"/>
      <w:lvlText w:val="•"/>
      <w:lvlJc w:val="left"/>
      <w:pPr>
        <w:ind w:left="3452" w:hanging="541"/>
      </w:pPr>
      <w:rPr>
        <w:rFonts w:hint="default"/>
        <w:lang w:val="es-ES" w:eastAsia="en-US" w:bidi="ar-SA"/>
      </w:rPr>
    </w:lvl>
    <w:lvl w:ilvl="5">
      <w:numFmt w:val="bullet"/>
      <w:lvlText w:val="•"/>
      <w:lvlJc w:val="left"/>
      <w:pPr>
        <w:ind w:left="4423" w:hanging="541"/>
      </w:pPr>
      <w:rPr>
        <w:rFonts w:hint="default"/>
        <w:lang w:val="es-ES" w:eastAsia="en-US" w:bidi="ar-SA"/>
      </w:rPr>
    </w:lvl>
    <w:lvl w:ilvl="6">
      <w:numFmt w:val="bullet"/>
      <w:lvlText w:val="•"/>
      <w:lvlJc w:val="left"/>
      <w:pPr>
        <w:ind w:left="5394" w:hanging="541"/>
      </w:pPr>
      <w:rPr>
        <w:rFonts w:hint="default"/>
        <w:lang w:val="es-ES" w:eastAsia="en-US" w:bidi="ar-SA"/>
      </w:rPr>
    </w:lvl>
    <w:lvl w:ilvl="7">
      <w:numFmt w:val="bullet"/>
      <w:lvlText w:val="•"/>
      <w:lvlJc w:val="left"/>
      <w:pPr>
        <w:ind w:left="6365" w:hanging="541"/>
      </w:pPr>
      <w:rPr>
        <w:rFonts w:hint="default"/>
        <w:lang w:val="es-ES" w:eastAsia="en-US" w:bidi="ar-SA"/>
      </w:rPr>
    </w:lvl>
    <w:lvl w:ilvl="8">
      <w:numFmt w:val="bullet"/>
      <w:lvlText w:val="•"/>
      <w:lvlJc w:val="left"/>
      <w:pPr>
        <w:ind w:left="7336" w:hanging="541"/>
      </w:pPr>
      <w:rPr>
        <w:rFonts w:hint="default"/>
        <w:lang w:val="es-ES" w:eastAsia="en-US" w:bidi="ar-SA"/>
      </w:rPr>
    </w:lvl>
  </w:abstractNum>
  <w:abstractNum w:abstractNumId="29" w15:restartNumberingAfterBreak="0">
    <w:nsid w:val="62313E29"/>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30"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1"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33"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78164679"/>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7F010F13"/>
    <w:multiLevelType w:val="hybridMultilevel"/>
    <w:tmpl w:val="029EAD64"/>
    <w:lvl w:ilvl="0" w:tplc="7BD039BA">
      <w:start w:val="3"/>
      <w:numFmt w:val="decimal"/>
      <w:lvlText w:val="%1."/>
      <w:lvlJc w:val="left"/>
      <w:pPr>
        <w:ind w:left="108" w:hanging="245"/>
      </w:pPr>
      <w:rPr>
        <w:rFonts w:ascii="Tahoma" w:eastAsia="Tahoma" w:hAnsi="Tahoma" w:cs="Tahoma" w:hint="default"/>
        <w:spacing w:val="-5"/>
        <w:w w:val="95"/>
        <w:sz w:val="21"/>
        <w:szCs w:val="21"/>
        <w:lang w:val="es-ES" w:eastAsia="en-US" w:bidi="ar-SA"/>
      </w:rPr>
    </w:lvl>
    <w:lvl w:ilvl="1" w:tplc="F4308616">
      <w:numFmt w:val="bullet"/>
      <w:lvlText w:val="•"/>
      <w:lvlJc w:val="left"/>
      <w:pPr>
        <w:ind w:left="621" w:hanging="245"/>
      </w:pPr>
      <w:rPr>
        <w:rFonts w:hint="default"/>
        <w:lang w:val="es-ES" w:eastAsia="en-US" w:bidi="ar-SA"/>
      </w:rPr>
    </w:lvl>
    <w:lvl w:ilvl="2" w:tplc="9334AEA6">
      <w:numFmt w:val="bullet"/>
      <w:lvlText w:val="•"/>
      <w:lvlJc w:val="left"/>
      <w:pPr>
        <w:ind w:left="1142" w:hanging="245"/>
      </w:pPr>
      <w:rPr>
        <w:rFonts w:hint="default"/>
        <w:lang w:val="es-ES" w:eastAsia="en-US" w:bidi="ar-SA"/>
      </w:rPr>
    </w:lvl>
    <w:lvl w:ilvl="3" w:tplc="9CB450DA">
      <w:numFmt w:val="bullet"/>
      <w:lvlText w:val="•"/>
      <w:lvlJc w:val="left"/>
      <w:pPr>
        <w:ind w:left="1663" w:hanging="245"/>
      </w:pPr>
      <w:rPr>
        <w:rFonts w:hint="default"/>
        <w:lang w:val="es-ES" w:eastAsia="en-US" w:bidi="ar-SA"/>
      </w:rPr>
    </w:lvl>
    <w:lvl w:ilvl="4" w:tplc="39A25528">
      <w:numFmt w:val="bullet"/>
      <w:lvlText w:val="•"/>
      <w:lvlJc w:val="left"/>
      <w:pPr>
        <w:ind w:left="2184" w:hanging="245"/>
      </w:pPr>
      <w:rPr>
        <w:rFonts w:hint="default"/>
        <w:lang w:val="es-ES" w:eastAsia="en-US" w:bidi="ar-SA"/>
      </w:rPr>
    </w:lvl>
    <w:lvl w:ilvl="5" w:tplc="7BAE4D42">
      <w:numFmt w:val="bullet"/>
      <w:lvlText w:val="•"/>
      <w:lvlJc w:val="left"/>
      <w:pPr>
        <w:ind w:left="2705" w:hanging="245"/>
      </w:pPr>
      <w:rPr>
        <w:rFonts w:hint="default"/>
        <w:lang w:val="es-ES" w:eastAsia="en-US" w:bidi="ar-SA"/>
      </w:rPr>
    </w:lvl>
    <w:lvl w:ilvl="6" w:tplc="5FE09832">
      <w:numFmt w:val="bullet"/>
      <w:lvlText w:val="•"/>
      <w:lvlJc w:val="left"/>
      <w:pPr>
        <w:ind w:left="3226" w:hanging="245"/>
      </w:pPr>
      <w:rPr>
        <w:rFonts w:hint="default"/>
        <w:lang w:val="es-ES" w:eastAsia="en-US" w:bidi="ar-SA"/>
      </w:rPr>
    </w:lvl>
    <w:lvl w:ilvl="7" w:tplc="52561C22">
      <w:numFmt w:val="bullet"/>
      <w:lvlText w:val="•"/>
      <w:lvlJc w:val="left"/>
      <w:pPr>
        <w:ind w:left="3747" w:hanging="245"/>
      </w:pPr>
      <w:rPr>
        <w:rFonts w:hint="default"/>
        <w:lang w:val="es-ES" w:eastAsia="en-US" w:bidi="ar-SA"/>
      </w:rPr>
    </w:lvl>
    <w:lvl w:ilvl="8" w:tplc="C3D424C2">
      <w:numFmt w:val="bullet"/>
      <w:lvlText w:val="•"/>
      <w:lvlJc w:val="left"/>
      <w:pPr>
        <w:ind w:left="4268" w:hanging="245"/>
      </w:pPr>
      <w:rPr>
        <w:rFonts w:hint="default"/>
        <w:lang w:val="es-ES" w:eastAsia="en-US" w:bidi="ar-SA"/>
      </w:rPr>
    </w:lvl>
  </w:abstractNum>
  <w:num w:numId="1" w16cid:durableId="693533499">
    <w:abstractNumId w:val="19"/>
  </w:num>
  <w:num w:numId="2" w16cid:durableId="1404184314">
    <w:abstractNumId w:val="17"/>
  </w:num>
  <w:num w:numId="3" w16cid:durableId="1099914322">
    <w:abstractNumId w:val="0"/>
  </w:num>
  <w:num w:numId="4" w16cid:durableId="1943151229">
    <w:abstractNumId w:val="30"/>
  </w:num>
  <w:num w:numId="5" w16cid:durableId="1786921379">
    <w:abstractNumId w:val="20"/>
  </w:num>
  <w:num w:numId="6" w16cid:durableId="856848971">
    <w:abstractNumId w:val="33"/>
  </w:num>
  <w:num w:numId="7" w16cid:durableId="1712148043">
    <w:abstractNumId w:val="31"/>
  </w:num>
  <w:num w:numId="8" w16cid:durableId="1357079744">
    <w:abstractNumId w:val="34"/>
  </w:num>
  <w:num w:numId="9" w16cid:durableId="1310667706">
    <w:abstractNumId w:val="11"/>
  </w:num>
  <w:num w:numId="10" w16cid:durableId="1276791157">
    <w:abstractNumId w:val="27"/>
  </w:num>
  <w:num w:numId="11" w16cid:durableId="1431462195">
    <w:abstractNumId w:val="16"/>
  </w:num>
  <w:num w:numId="12" w16cid:durableId="1286693919">
    <w:abstractNumId w:val="26"/>
  </w:num>
  <w:num w:numId="13" w16cid:durableId="203954231">
    <w:abstractNumId w:val="10"/>
  </w:num>
  <w:num w:numId="14" w16cid:durableId="1400640849">
    <w:abstractNumId w:val="1"/>
  </w:num>
  <w:num w:numId="15" w16cid:durableId="1248924440">
    <w:abstractNumId w:val="24"/>
  </w:num>
  <w:num w:numId="16" w16cid:durableId="693337528">
    <w:abstractNumId w:val="3"/>
  </w:num>
  <w:num w:numId="17" w16cid:durableId="1919090875">
    <w:abstractNumId w:val="36"/>
  </w:num>
  <w:num w:numId="18" w16cid:durableId="1186167029">
    <w:abstractNumId w:val="7"/>
  </w:num>
  <w:num w:numId="19" w16cid:durableId="1595212451">
    <w:abstractNumId w:val="8"/>
  </w:num>
  <w:num w:numId="20" w16cid:durableId="1294753261">
    <w:abstractNumId w:val="9"/>
  </w:num>
  <w:num w:numId="21" w16cid:durableId="2138453063">
    <w:abstractNumId w:val="18"/>
  </w:num>
  <w:num w:numId="22" w16cid:durableId="1123965533">
    <w:abstractNumId w:val="2"/>
  </w:num>
  <w:num w:numId="23" w16cid:durableId="1577742214">
    <w:abstractNumId w:val="4"/>
  </w:num>
  <w:num w:numId="24" w16cid:durableId="1019283257">
    <w:abstractNumId w:val="15"/>
  </w:num>
  <w:num w:numId="25" w16cid:durableId="61831021">
    <w:abstractNumId w:val="23"/>
  </w:num>
  <w:num w:numId="26" w16cid:durableId="1854494374">
    <w:abstractNumId w:val="35"/>
  </w:num>
  <w:num w:numId="27" w16cid:durableId="1178696487">
    <w:abstractNumId w:val="29"/>
  </w:num>
  <w:num w:numId="28" w16cid:durableId="1610812347">
    <w:abstractNumId w:val="32"/>
  </w:num>
  <w:num w:numId="29" w16cid:durableId="327055269">
    <w:abstractNumId w:val="14"/>
  </w:num>
  <w:num w:numId="30" w16cid:durableId="1129711650">
    <w:abstractNumId w:val="12"/>
  </w:num>
  <w:num w:numId="31" w16cid:durableId="1542091192">
    <w:abstractNumId w:val="22"/>
  </w:num>
  <w:num w:numId="32" w16cid:durableId="1875921588">
    <w:abstractNumId w:val="28"/>
  </w:num>
  <w:num w:numId="33" w16cid:durableId="1440644084">
    <w:abstractNumId w:val="6"/>
  </w:num>
  <w:num w:numId="34" w16cid:durableId="310839608">
    <w:abstractNumId w:val="21"/>
  </w:num>
  <w:num w:numId="35" w16cid:durableId="46489785">
    <w:abstractNumId w:val="25"/>
  </w:num>
  <w:num w:numId="36" w16cid:durableId="1129545442">
    <w:abstractNumId w:val="13"/>
  </w:num>
  <w:num w:numId="37" w16cid:durableId="58526799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E76B6"/>
    <w:rsid w:val="000F595F"/>
    <w:rsid w:val="0010663D"/>
    <w:rsid w:val="0016576D"/>
    <w:rsid w:val="001B16C7"/>
    <w:rsid w:val="001C1C17"/>
    <w:rsid w:val="001D5653"/>
    <w:rsid w:val="0023214D"/>
    <w:rsid w:val="0025287F"/>
    <w:rsid w:val="002557CA"/>
    <w:rsid w:val="002D1F14"/>
    <w:rsid w:val="002D6660"/>
    <w:rsid w:val="002F2ECC"/>
    <w:rsid w:val="0030526A"/>
    <w:rsid w:val="00353A86"/>
    <w:rsid w:val="00376FBD"/>
    <w:rsid w:val="003C06CD"/>
    <w:rsid w:val="004044F5"/>
    <w:rsid w:val="00424A31"/>
    <w:rsid w:val="004709D5"/>
    <w:rsid w:val="004E33CF"/>
    <w:rsid w:val="0056582C"/>
    <w:rsid w:val="005661FE"/>
    <w:rsid w:val="00576BF8"/>
    <w:rsid w:val="005B41EC"/>
    <w:rsid w:val="00653E06"/>
    <w:rsid w:val="00654DBE"/>
    <w:rsid w:val="006811E0"/>
    <w:rsid w:val="00687E2D"/>
    <w:rsid w:val="006968BB"/>
    <w:rsid w:val="006A3143"/>
    <w:rsid w:val="0070496E"/>
    <w:rsid w:val="00771396"/>
    <w:rsid w:val="007766F8"/>
    <w:rsid w:val="00783A4C"/>
    <w:rsid w:val="007C6543"/>
    <w:rsid w:val="007D21A8"/>
    <w:rsid w:val="007D390E"/>
    <w:rsid w:val="007E1EB5"/>
    <w:rsid w:val="00831A84"/>
    <w:rsid w:val="0084692E"/>
    <w:rsid w:val="008C19AD"/>
    <w:rsid w:val="008E1B64"/>
    <w:rsid w:val="009313B9"/>
    <w:rsid w:val="00933ABF"/>
    <w:rsid w:val="00955B35"/>
    <w:rsid w:val="00990813"/>
    <w:rsid w:val="00A40309"/>
    <w:rsid w:val="00A416F7"/>
    <w:rsid w:val="00A83758"/>
    <w:rsid w:val="00AC57AB"/>
    <w:rsid w:val="00AC7DB0"/>
    <w:rsid w:val="00B20977"/>
    <w:rsid w:val="00B22C8C"/>
    <w:rsid w:val="00BF583B"/>
    <w:rsid w:val="00C2684B"/>
    <w:rsid w:val="00C63449"/>
    <w:rsid w:val="00CB10D1"/>
    <w:rsid w:val="00CC2A9B"/>
    <w:rsid w:val="00CE292C"/>
    <w:rsid w:val="00D3338A"/>
    <w:rsid w:val="00D85275"/>
    <w:rsid w:val="00D9524E"/>
    <w:rsid w:val="00E018C1"/>
    <w:rsid w:val="00E733D8"/>
    <w:rsid w:val="00E9376A"/>
    <w:rsid w:val="00ED1A7D"/>
    <w:rsid w:val="00F0646A"/>
    <w:rsid w:val="00F80F8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ED1A7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basedOn w:val="Fuentedeprrafopredeter"/>
    <w:link w:val="Ttulo4"/>
    <w:uiPriority w:val="9"/>
    <w:semiHidden/>
    <w:rsid w:val="00ED1A7D"/>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955B35"/>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7144444">
      <w:bodyDiv w:val="1"/>
      <w:marLeft w:val="0"/>
      <w:marRight w:val="0"/>
      <w:marTop w:val="0"/>
      <w:marBottom w:val="0"/>
      <w:divBdr>
        <w:top w:val="none" w:sz="0" w:space="0" w:color="auto"/>
        <w:left w:val="none" w:sz="0" w:space="0" w:color="auto"/>
        <w:bottom w:val="none" w:sz="0" w:space="0" w:color="auto"/>
        <w:right w:val="none" w:sz="0" w:space="0" w:color="auto"/>
      </w:divBdr>
    </w:div>
    <w:div w:id="917909397">
      <w:bodyDiv w:val="1"/>
      <w:marLeft w:val="0"/>
      <w:marRight w:val="0"/>
      <w:marTop w:val="0"/>
      <w:marBottom w:val="0"/>
      <w:divBdr>
        <w:top w:val="none" w:sz="0" w:space="0" w:color="auto"/>
        <w:left w:val="none" w:sz="0" w:space="0" w:color="auto"/>
        <w:bottom w:val="none" w:sz="0" w:space="0" w:color="auto"/>
        <w:right w:val="none" w:sz="0" w:space="0" w:color="auto"/>
      </w:divBdr>
    </w:div>
    <w:div w:id="1076437490">
      <w:bodyDiv w:val="1"/>
      <w:marLeft w:val="0"/>
      <w:marRight w:val="0"/>
      <w:marTop w:val="0"/>
      <w:marBottom w:val="0"/>
      <w:divBdr>
        <w:top w:val="none" w:sz="0" w:space="0" w:color="auto"/>
        <w:left w:val="none" w:sz="0" w:space="0" w:color="auto"/>
        <w:bottom w:val="none" w:sz="0" w:space="0" w:color="auto"/>
        <w:right w:val="none" w:sz="0" w:space="0" w:color="auto"/>
      </w:divBdr>
    </w:div>
    <w:div w:id="13948859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4.xml><?xml version="1.0" encoding="utf-8"?>
<ds:datastoreItem xmlns:ds="http://schemas.openxmlformats.org/officeDocument/2006/customXml" ds:itemID="{FE9D808B-78D8-4B6D-A754-333E3DF85D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7</Pages>
  <Words>1687</Words>
  <Characters>9281</Characters>
  <Application>Microsoft Office Word</Application>
  <DocSecurity>0</DocSecurity>
  <Lines>77</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11</cp:revision>
  <dcterms:created xsi:type="dcterms:W3CDTF">2024-04-07T02:25:00Z</dcterms:created>
  <dcterms:modified xsi:type="dcterms:W3CDTF">2025-01-07T09:56:00Z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